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F112" w14:textId="77777777" w:rsidR="00291390" w:rsidRDefault="00801E4D">
      <w:pPr>
        <w:tabs>
          <w:tab w:val="right" w:pos="9270"/>
        </w:tabs>
      </w:pPr>
      <w:r>
        <w:rPr>
          <w:b/>
        </w:rPr>
        <w:t>Archive old version of Section F.1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4.29.15</w:t>
      </w:r>
    </w:p>
    <w:p w14:paraId="695129B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9BA13B7" w14:textId="77777777" w:rsidR="00801E4D" w:rsidRPr="00482CFE" w:rsidRDefault="00801E4D" w:rsidP="00801E4D">
      <w:pPr>
        <w:pStyle w:val="Heading3"/>
      </w:pPr>
      <w:bookmarkStart w:id="0" w:name="_Toc379824851"/>
      <w:bookmarkStart w:id="1" w:name="_Toc415298859"/>
      <w:bookmarkStart w:id="2" w:name="_Toc415299368"/>
      <w:bookmarkStart w:id="3" w:name="_Toc415299880"/>
      <w:bookmarkStart w:id="4" w:name="_Toc415300399"/>
      <w:bookmarkStart w:id="5" w:name="_Toc415302323"/>
      <w:bookmarkStart w:id="6" w:name="_Toc415303291"/>
      <w:bookmarkStart w:id="7" w:name="_Toc415303804"/>
      <w:bookmarkStart w:id="8" w:name="_Toc415304317"/>
      <w:bookmarkStart w:id="9" w:name="_Toc415304830"/>
      <w:bookmarkStart w:id="10" w:name="_Toc415308615"/>
      <w:bookmarkStart w:id="11" w:name="_Toc415309128"/>
      <w:bookmarkStart w:id="12" w:name="_Toc415309643"/>
      <w:bookmarkStart w:id="13" w:name="_Toc415310420"/>
      <w:bookmarkStart w:id="14" w:name="_Toc415310938"/>
      <w:bookmarkStart w:id="15" w:name="_Toc415311456"/>
      <w:bookmarkStart w:id="16" w:name="_Toc415312231"/>
      <w:bookmarkStart w:id="17" w:name="_Toc415313006"/>
      <w:bookmarkStart w:id="18" w:name="_Toc415313784"/>
      <w:bookmarkStart w:id="19" w:name="_Toc415335056"/>
      <w:bookmarkStart w:id="20" w:name="_Toc415337468"/>
      <w:bookmarkStart w:id="21" w:name="_Toc415338532"/>
      <w:bookmarkStart w:id="22" w:name="_Toc415339053"/>
      <w:bookmarkStart w:id="23" w:name="_Toc415380848"/>
      <w:bookmarkStart w:id="24" w:name="_Toc415382270"/>
      <w:bookmarkStart w:id="25" w:name="_Toc415383748"/>
      <w:bookmarkStart w:id="26" w:name="_Toc415384271"/>
      <w:bookmarkStart w:id="27" w:name="_Toc415386674"/>
      <w:bookmarkStart w:id="28" w:name="_Toc415387197"/>
      <w:bookmarkStart w:id="29" w:name="_Toc415387719"/>
      <w:bookmarkStart w:id="30" w:name="_Toc415389557"/>
      <w:bookmarkStart w:id="31" w:name="_Toc415390082"/>
      <w:bookmarkStart w:id="32" w:name="_Toc415390868"/>
      <w:bookmarkStart w:id="33" w:name="_Toc415660503"/>
      <w:bookmarkStart w:id="34" w:name="_Toc416017117"/>
      <w:bookmarkStart w:id="35" w:name="_Toc416017643"/>
      <w:bookmarkStart w:id="36" w:name="_Toc416018168"/>
      <w:bookmarkStart w:id="37" w:name="_Toc416110841"/>
      <w:bookmarkStart w:id="38" w:name="_Toc416111330"/>
      <w:bookmarkStart w:id="39" w:name="_Toc416111821"/>
      <w:bookmarkStart w:id="40" w:name="_Toc416458736"/>
      <w:bookmarkStart w:id="41" w:name="_Toc416516429"/>
      <w:bookmarkStart w:id="42" w:name="_Toc416689523"/>
      <w:bookmarkStart w:id="43" w:name="_Toc416799714"/>
      <w:bookmarkStart w:id="44" w:name="_Toc417064484"/>
      <w:bookmarkStart w:id="45" w:name="_Toc417206658"/>
      <w:bookmarkStart w:id="46" w:name="_Toc417240713"/>
      <w:bookmarkStart w:id="47" w:name="_Toc417750446"/>
      <w:bookmarkStart w:id="48" w:name="_Toc417753117"/>
      <w:r>
        <w:t xml:space="preserve">F.1 Definition and Interpretation of Γ :  </w:t>
      </w:r>
      <w:r w:rsidRPr="00220D9C">
        <w:rPr>
          <w:color w:val="000000"/>
        </w:rPr>
        <w:t>Γ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ab</w:t>
      </w:r>
      <w:r>
        <w:t xml:space="preserve"> = </w:t>
      </w:r>
      <w:r w:rsidRPr="00BB2D92">
        <w:rPr>
          <w:b w:val="0"/>
        </w:rPr>
        <w:t>e</w:t>
      </w:r>
      <w:r w:rsidRPr="002F0C10">
        <w:rPr>
          <w:rStyle w:val="superscript"/>
          <w:b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 w:rsidRPr="002F0C10">
        <w:rPr>
          <w:rStyle w:val="subscript"/>
          <w:b/>
          <w:color w:val="000000"/>
        </w:rPr>
        <w:t>a</w:t>
      </w:r>
      <w:r w:rsidRPr="00BB2D92">
        <w:rPr>
          <w:b w:val="0"/>
        </w:rPr>
        <w:t>e</w:t>
      </w:r>
      <w:r w:rsidRPr="002F0C10">
        <w:rPr>
          <w:rStyle w:val="subscript"/>
          <w:b/>
        </w:rPr>
        <w:t>b</w:t>
      </w:r>
      <w:r w:rsidRPr="00220D9C">
        <w:rPr>
          <w:color w:val="000000"/>
        </w:rPr>
        <w:t>)</w:t>
      </w:r>
      <w:r>
        <w:rPr>
          <w:color w:val="000000"/>
        </w:rPr>
        <w:t xml:space="preserve">   =   </w:t>
      </w:r>
      <w:r w:rsidRPr="00F067BA">
        <w:t>R</w:t>
      </w:r>
      <w:r w:rsidRPr="002F0C10">
        <w:rPr>
          <w:rStyle w:val="superscript"/>
          <w:b/>
          <w:color w:val="000000"/>
        </w:rPr>
        <w:t>c</w:t>
      </w:r>
      <w:r w:rsidRPr="002F0C10">
        <w:rPr>
          <w:rStyle w:val="subscript"/>
          <w:b/>
          <w:color w:val="000000"/>
        </w:rPr>
        <w:t>i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 w:rsidRPr="002F0C10">
        <w:rPr>
          <w:rStyle w:val="subscript"/>
          <w:b/>
          <w:color w:val="000000"/>
        </w:rPr>
        <w:t>a</w:t>
      </w:r>
      <w:r w:rsidRPr="00F067BA">
        <w:t>R</w:t>
      </w:r>
      <w:r w:rsidRPr="002F0C10">
        <w:rPr>
          <w:rStyle w:val="subscript"/>
          <w:b/>
        </w:rPr>
        <w:t>b</w:t>
      </w:r>
      <w:r w:rsidRPr="002F0C10">
        <w:rPr>
          <w:rStyle w:val="superscript"/>
          <w:b/>
        </w:rPr>
        <w:t>i</w:t>
      </w:r>
      <w:r w:rsidRPr="00220D9C">
        <w:rPr>
          <w:color w:val="000000"/>
        </w:rPr>
        <w:t>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14:paraId="22934333" w14:textId="77777777" w:rsidR="00801E4D" w:rsidRDefault="00801E4D" w:rsidP="00801E4D"/>
    <w:p w14:paraId="0685CEB4" w14:textId="77777777" w:rsidR="00801E4D" w:rsidRPr="00F20F8B" w:rsidRDefault="00801E4D" w:rsidP="00801E4D">
      <w:r>
        <w:t>Context can be very confusing in a discussion of the affine connection Γ. We start with a modified Picture C in which the quasi-Cartesian space on the right is called ξ-space instead of x</w:t>
      </w:r>
      <w:r>
        <w:rPr>
          <w:rStyle w:val="superscript"/>
        </w:rPr>
        <w:t>(0)</w:t>
      </w:r>
      <w:r>
        <w:t>-space as in Picture C. The notation ξ</w:t>
      </w:r>
      <w:r>
        <w:rPr>
          <w:rStyle w:val="superscript"/>
        </w:rPr>
        <w:t>i</w:t>
      </w:r>
      <w:r>
        <w:t xml:space="preserve"> for the coordinates of ξ-space seems traditional in general relativity work where the Γ object appears frequently. </w:t>
      </w:r>
    </w:p>
    <w:p w14:paraId="56577454" w14:textId="77777777" w:rsidR="00801E4D" w:rsidRDefault="00801E4D" w:rsidP="00801E4D"/>
    <w:p w14:paraId="7416A968" w14:textId="77777777" w:rsidR="00801E4D" w:rsidRPr="00F134AE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</w:t>
      </w:r>
      <w:r>
        <w:pict w14:anchorId="249052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  <w:r>
        <w:tab/>
      </w:r>
      <w:r>
        <w:tab/>
      </w:r>
      <w:r>
        <w:tab/>
        <w:t>(F.1.1)</w:t>
      </w:r>
    </w:p>
    <w:p w14:paraId="246DF464" w14:textId="77777777" w:rsidR="00801E4D" w:rsidRDefault="00801E4D" w:rsidP="00801E4D"/>
    <w:p w14:paraId="294572AD" w14:textId="77777777" w:rsidR="00801E4D" w:rsidRDefault="00801E4D" w:rsidP="00801E4D">
      <w:r>
        <w:t>Recall from the discussion near (1.10) that the metric tensor G is a diagonal matrix whose elements are independently +1 or -1. Since the metric tensor transforms as a rank-2 tensor, we know from the last line of (7.5.8), adapted from Picture A to Picture C1, that g</w:t>
      </w:r>
      <w:r w:rsidRPr="00193630">
        <w:rPr>
          <w:rStyle w:val="subscript"/>
        </w:rPr>
        <w:t>ab</w:t>
      </w:r>
      <w:r>
        <w:t xml:space="preserve"> = R</w:t>
      </w:r>
      <w:r w:rsidRPr="00193630"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 w:rsidRPr="00193630">
        <w:rPr>
          <w:rStyle w:val="subscript"/>
        </w:rPr>
        <w:t>b</w:t>
      </w:r>
      <w:r>
        <w:rPr>
          <w:rStyle w:val="superscript"/>
        </w:rPr>
        <w:t>j</w:t>
      </w:r>
      <w:r>
        <w:t>G</w:t>
      </w:r>
      <w:r>
        <w:rPr>
          <w:rStyle w:val="subscript"/>
        </w:rPr>
        <w:t>ij</w:t>
      </w:r>
      <w:r>
        <w:t xml:space="preserve">. Since G is diagonal, we write this as </w:t>
      </w:r>
    </w:p>
    <w:p w14:paraId="684D2239" w14:textId="77777777" w:rsidR="00801E4D" w:rsidRPr="005519FF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  <w:t>g</w:t>
      </w:r>
      <w:r>
        <w:rPr>
          <w:rStyle w:val="subscript"/>
        </w:rPr>
        <w:t>ab</w:t>
      </w:r>
      <w:r>
        <w:t xml:space="preserve"> = R</w:t>
      </w:r>
      <w:r w:rsidRPr="00193630"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 w:rsidRPr="00193630">
        <w:rPr>
          <w:rStyle w:val="subscript"/>
        </w:rPr>
        <w:t>b</w:t>
      </w:r>
      <w:r>
        <w:rPr>
          <w:rStyle w:val="superscript"/>
        </w:rPr>
        <w:t>i</w:t>
      </w:r>
      <w:r>
        <w:t>G</w:t>
      </w:r>
      <w:r>
        <w:rPr>
          <w:rStyle w:val="subscript"/>
        </w:rPr>
        <w:t>ii</w:t>
      </w:r>
      <w:r>
        <w:t xml:space="preserve"> </w:t>
      </w:r>
      <w:r>
        <w:tab/>
        <w:t xml:space="preserve">   and</w:t>
      </w:r>
      <w:r>
        <w:tab/>
        <w:t>g</w:t>
      </w:r>
      <w:r w:rsidRPr="000C50FE">
        <w:rPr>
          <w:rStyle w:val="superscript"/>
        </w:rPr>
        <w:t>ab</w:t>
      </w:r>
      <w:r>
        <w:t xml:space="preserve"> = R</w:t>
      </w:r>
      <w:r w:rsidRPr="000C50FE">
        <w:rPr>
          <w:rStyle w:val="superscript"/>
        </w:rPr>
        <w:t>a</w:t>
      </w:r>
      <w:r w:rsidRPr="000C50FE">
        <w:rPr>
          <w:rStyle w:val="subscript"/>
        </w:rPr>
        <w:t>i</w:t>
      </w:r>
      <w:r>
        <w:t>R</w:t>
      </w:r>
      <w:r w:rsidRPr="000C50FE">
        <w:rPr>
          <w:rStyle w:val="superscript"/>
        </w:rPr>
        <w:t>b</w:t>
      </w:r>
      <w:r w:rsidRPr="000C50FE">
        <w:rPr>
          <w:rStyle w:val="subscript"/>
        </w:rPr>
        <w:t>i</w:t>
      </w:r>
      <w:r>
        <w:t>G</w:t>
      </w:r>
      <w:r w:rsidRPr="000C50FE">
        <w:rPr>
          <w:rStyle w:val="superscript"/>
        </w:rPr>
        <w:t>ii</w:t>
      </w:r>
      <w:r>
        <w:tab/>
      </w:r>
      <w:r>
        <w:tab/>
      </w:r>
      <w:r>
        <w:tab/>
      </w:r>
      <w:r>
        <w:tab/>
      </w:r>
      <w:r>
        <w:tab/>
      </w:r>
      <w:r>
        <w:tab/>
        <w:t>(F.1.2)</w:t>
      </w:r>
    </w:p>
    <w:p w14:paraId="7226DA91" w14:textId="77777777" w:rsidR="00801E4D" w:rsidRDefault="00801E4D" w:rsidP="00801E4D"/>
    <w:p w14:paraId="579BE22A" w14:textId="77777777" w:rsidR="00801E4D" w:rsidRDefault="00801E4D" w:rsidP="00801E4D">
      <w:r>
        <w:t>with a single implied sum on i. If G = 1, then the x</w:t>
      </w:r>
      <w:r>
        <w:rPr>
          <w:rStyle w:val="superscript"/>
        </w:rPr>
        <w:t>i</w:t>
      </w:r>
      <w:r>
        <w:t xml:space="preserve"> coordinates of x-space are "the curvilinear coordinates" and the ξ</w:t>
      </w:r>
      <w:r>
        <w:rPr>
          <w:rStyle w:val="superscript"/>
        </w:rPr>
        <w:t>i</w:t>
      </w:r>
      <w:r>
        <w:t xml:space="preserve"> are "the Cartesian coordinates". </w:t>
      </w:r>
    </w:p>
    <w:p w14:paraId="124037E8" w14:textId="77777777" w:rsidR="00801E4D" w:rsidRDefault="00801E4D" w:rsidP="00801E4D"/>
    <w:p w14:paraId="44AD802B" w14:textId="77777777" w:rsidR="00801E4D" w:rsidRPr="00EF4781" w:rsidRDefault="00801E4D" w:rsidP="00801E4D">
      <w:pPr>
        <w:rPr>
          <w:rStyle w:val="subscript"/>
        </w:rPr>
      </w:pPr>
      <w:r>
        <w:rPr>
          <w:u w:val="single"/>
        </w:rPr>
        <w:t>The Role of Pictures in Understanding the Affine Connection</w:t>
      </w:r>
    </w:p>
    <w:p w14:paraId="4F1AD700" w14:textId="77777777" w:rsidR="00801E4D" w:rsidRDefault="00801E4D" w:rsidP="00801E4D"/>
    <w:p w14:paraId="53B6EB9F" w14:textId="77777777" w:rsidR="00801E4D" w:rsidRDefault="00801E4D" w:rsidP="00801E4D">
      <w:r>
        <w:pict w14:anchorId="4FB6F52A">
          <v:shape id="_x0000_i1026" type="#_x0000_t75" style="width:205.5pt;height:65.25pt">
            <v:imagedata r:id="rId7" o:title=""/>
          </v:shape>
        </w:pict>
      </w:r>
      <w:r>
        <w:tab/>
        <w:t xml:space="preserve">     </w:t>
      </w:r>
      <w:r>
        <w:pict w14:anchorId="38E836BB">
          <v:shape id="_x0000_i1027" type="#_x0000_t75" style="width:199.5pt;height:62.25pt">
            <v:imagedata r:id="rId6" o:title=""/>
          </v:shape>
        </w:pict>
      </w:r>
    </w:p>
    <w:p w14:paraId="2B7A1DB0" w14:textId="77777777" w:rsidR="00801E4D" w:rsidRDefault="00801E4D" w:rsidP="00801E4D"/>
    <w:p w14:paraId="06D1A422" w14:textId="77777777" w:rsidR="00801E4D" w:rsidRPr="00857B92" w:rsidRDefault="00801E4D" w:rsidP="00801E4D">
      <w:r>
        <w:t xml:space="preserve">Here we attempt to head off a confusion about the meaning of the symbol </w:t>
      </w:r>
      <w:r w:rsidRPr="00857B92">
        <w:rPr>
          <w:b/>
        </w:rPr>
        <w:t>e</w:t>
      </w:r>
      <w:r>
        <w:rPr>
          <w:rStyle w:val="subscript"/>
        </w:rPr>
        <w:t>n</w:t>
      </w:r>
      <w:r>
        <w:t xml:space="preserve">, and confusion about the form taken by the definition of the affine connection. </w:t>
      </w:r>
    </w:p>
    <w:p w14:paraId="339272DC" w14:textId="77777777" w:rsidR="00801E4D" w:rsidRDefault="00801E4D" w:rsidP="00801E4D"/>
    <w:p w14:paraId="144D38D7" w14:textId="77777777" w:rsidR="00801E4D" w:rsidRDefault="00801E4D" w:rsidP="00801E4D">
      <w:r>
        <w:t xml:space="preserve">In Picture A the tangent base vectors exist in x-space and are called </w:t>
      </w:r>
      <w:r w:rsidRPr="005C3C13">
        <w:rPr>
          <w:b/>
        </w:rPr>
        <w:t>e</w:t>
      </w:r>
      <w:r>
        <w:rPr>
          <w:rStyle w:val="subscript"/>
        </w:rPr>
        <w:t>n</w:t>
      </w:r>
      <w:r>
        <w:t>. From (7.18.1) we know both that (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and the dot product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B940DE">
        <w:rPr>
          <w:b/>
        </w:rPr>
        <w:t>e</w:t>
      </w:r>
      <w:r>
        <w:rPr>
          <w:rStyle w:val="subscript"/>
        </w:rPr>
        <w:t>m</w:t>
      </w:r>
      <w:r>
        <w:t xml:space="preserve"> = g'</w:t>
      </w:r>
      <w:r>
        <w:rPr>
          <w:rStyle w:val="subscript"/>
        </w:rPr>
        <w:t>nm</w:t>
      </w:r>
      <w:r>
        <w:t xml:space="preserve"> where g' is the metric tensor in x'-space on the left. In general </w:t>
      </w:r>
      <w:r w:rsidRPr="00E53DE0">
        <w:rPr>
          <w:b/>
        </w:rPr>
        <w:t>e</w:t>
      </w:r>
      <w:r>
        <w:rPr>
          <w:rStyle w:val="subscript"/>
        </w:rPr>
        <w:t>n</w:t>
      </w:r>
      <w:r>
        <w:t xml:space="preserve"> =</w:t>
      </w:r>
      <w:r w:rsidRPr="00E53DE0">
        <w:rPr>
          <w:b/>
        </w:rPr>
        <w:t xml:space="preserve"> e</w:t>
      </w:r>
      <w:r>
        <w:rPr>
          <w:rStyle w:val="subscript"/>
        </w:rPr>
        <w:t>n</w:t>
      </w:r>
      <w:r>
        <w:t>(</w:t>
      </w:r>
      <w:r w:rsidRPr="00E53DE0">
        <w:rPr>
          <w:b/>
        </w:rPr>
        <w:t>x</w:t>
      </w:r>
      <w:r>
        <w:t xml:space="preserve">) as shown for example in Fig (3.4.3) for polar coordinates. Since </w:t>
      </w:r>
      <w:r w:rsidRPr="00E53DE0">
        <w:rPr>
          <w:b/>
        </w:rPr>
        <w:t>x</w:t>
      </w:r>
      <w:r>
        <w:t xml:space="preserve"> = </w:t>
      </w:r>
      <w:r w:rsidRPr="00E53DE0">
        <w:rPr>
          <w:b/>
        </w:rPr>
        <w:t>F</w:t>
      </w:r>
      <w:r>
        <w:rPr>
          <w:rStyle w:val="superscript"/>
        </w:rPr>
        <w:t>-1</w:t>
      </w:r>
      <w:r>
        <w:t>(</w:t>
      </w:r>
      <w:r w:rsidRPr="00E53DE0">
        <w:rPr>
          <w:b/>
        </w:rPr>
        <w:t>x</w:t>
      </w:r>
      <w:r>
        <w:t xml:space="preserve">'), we could </w:t>
      </w:r>
      <w:r w:rsidRPr="0067224C">
        <w:rPr>
          <w:i/>
        </w:rPr>
        <w:t>choose</w:t>
      </w:r>
      <w:r>
        <w:t xml:space="preserve"> to express the dependence as </w:t>
      </w:r>
      <w:r w:rsidRPr="00E53DE0">
        <w:rPr>
          <w:b/>
        </w:rPr>
        <w:t>e</w:t>
      </w:r>
      <w:r>
        <w:rPr>
          <w:rStyle w:val="subscript"/>
        </w:rPr>
        <w:t>n</w:t>
      </w:r>
      <w:r>
        <w:t>(</w:t>
      </w:r>
      <w:r w:rsidRPr="00E53DE0">
        <w:rPr>
          <w:b/>
        </w:rPr>
        <w:t>x</w:t>
      </w:r>
      <w:r>
        <w:t xml:space="preserve">') instead of </w:t>
      </w:r>
      <w:r w:rsidRPr="00E53DE0">
        <w:rPr>
          <w:b/>
        </w:rPr>
        <w:t>e</w:t>
      </w:r>
      <w:r>
        <w:rPr>
          <w:rStyle w:val="subscript"/>
        </w:rPr>
        <w:t>n</w:t>
      </w:r>
      <w:r>
        <w:t>(</w:t>
      </w:r>
      <w:r w:rsidRPr="00E53DE0">
        <w:rPr>
          <w:b/>
        </w:rPr>
        <w:t>x</w:t>
      </w:r>
      <w:r>
        <w:t xml:space="preserve">). </w:t>
      </w:r>
      <w:r w:rsidRPr="0067224C">
        <w:rPr>
          <w:color w:val="0000FF"/>
        </w:rPr>
        <w:t xml:space="preserve"> </w:t>
      </w:r>
      <w:r>
        <w:t xml:space="preserve">   </w:t>
      </w:r>
    </w:p>
    <w:p w14:paraId="718A5E8D" w14:textId="77777777" w:rsidR="00801E4D" w:rsidRDefault="00801E4D" w:rsidP="00801E4D"/>
    <w:p w14:paraId="645A4E3E" w14:textId="77777777" w:rsidR="00801E4D" w:rsidRDefault="00801E4D" w:rsidP="00801E4D">
      <w:r>
        <w:t xml:space="preserve">In Picture C1 the tangent base vectors exist in ξ-space and </w:t>
      </w:r>
      <w:r w:rsidRPr="00900984">
        <w:rPr>
          <w:i/>
        </w:rPr>
        <w:t>should be</w:t>
      </w:r>
      <w:r>
        <w:t xml:space="preserve"> called </w:t>
      </w:r>
      <w:r w:rsidRPr="005C3C1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. From (7.18.1) we know both that that (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)</w:t>
      </w:r>
      <w:r>
        <w:rPr>
          <w:rStyle w:val="superscript"/>
        </w:rPr>
        <w:t>i</w:t>
      </w:r>
      <w:r>
        <w:t xml:space="preserve"> 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and that the dot product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 xml:space="preserve"> </w:t>
      </w:r>
      <w:r>
        <w:sym w:font="Symbol" w:char="F0B7"/>
      </w:r>
      <w:r>
        <w:t xml:space="preserve"> </w:t>
      </w:r>
      <w:r w:rsidRPr="00B940DE">
        <w:rPr>
          <w:b/>
        </w:rPr>
        <w:t>e</w:t>
      </w:r>
      <w:r>
        <w:rPr>
          <w:rStyle w:val="subscript"/>
        </w:rPr>
        <w:t>m</w:t>
      </w:r>
      <w:r>
        <w:rPr>
          <w:rStyle w:val="superscript"/>
        </w:rPr>
        <w:t>[ξ]</w:t>
      </w:r>
      <w:r>
        <w:t xml:space="preserve"> = g</w:t>
      </w:r>
      <w:r>
        <w:rPr>
          <w:rStyle w:val="subscript"/>
        </w:rPr>
        <w:t>nm</w:t>
      </w:r>
      <w:r>
        <w:t xml:space="preserve"> where g is the metric tensor in x-space on the left. In general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 xml:space="preserve"> =</w:t>
      </w:r>
      <w:r w:rsidRPr="00E53DE0">
        <w:rPr>
          <w:b/>
        </w:rPr>
        <w:t xml:space="preserve">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(</w:t>
      </w:r>
      <w:r>
        <w:rPr>
          <w:b/>
        </w:rPr>
        <w:t>ξ</w:t>
      </w:r>
      <w:r>
        <w:t xml:space="preserve">).  Since </w:t>
      </w:r>
      <w:r>
        <w:rPr>
          <w:b/>
        </w:rPr>
        <w:t>ξ</w:t>
      </w:r>
      <w:r>
        <w:t xml:space="preserve"> = </w:t>
      </w:r>
      <w:r w:rsidRPr="00E53DE0">
        <w:rPr>
          <w:b/>
        </w:rPr>
        <w:t>F</w:t>
      </w:r>
      <w:r>
        <w:rPr>
          <w:rStyle w:val="superscript"/>
        </w:rPr>
        <w:t>-1</w:t>
      </w:r>
      <w:r>
        <w:t>(</w:t>
      </w:r>
      <w:r w:rsidRPr="00E53DE0">
        <w:rPr>
          <w:b/>
        </w:rPr>
        <w:t>x</w:t>
      </w:r>
      <w:r>
        <w:t xml:space="preserve">) , we could express the dependence as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(</w:t>
      </w:r>
      <w:r>
        <w:rPr>
          <w:b/>
        </w:rPr>
        <w:t>x</w:t>
      </w:r>
      <w:r>
        <w:t xml:space="preserve">) instead of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(</w:t>
      </w:r>
      <w:r>
        <w:rPr>
          <w:b/>
        </w:rPr>
        <w:t>ξ</w:t>
      </w:r>
      <w:r>
        <w:t xml:space="preserve">). </w:t>
      </w:r>
    </w:p>
    <w:p w14:paraId="777886A6" w14:textId="77777777" w:rsidR="00801E4D" w:rsidRDefault="00801E4D" w:rsidP="00801E4D"/>
    <w:p w14:paraId="65D27E3F" w14:textId="77777777" w:rsidR="00801E4D" w:rsidRDefault="00801E4D" w:rsidP="00801E4D">
      <w:r>
        <w:t xml:space="preserve">For Picture C1, we shall make the dependency choice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(</w:t>
      </w:r>
      <w:r>
        <w:rPr>
          <w:b/>
        </w:rPr>
        <w:t>x</w:t>
      </w:r>
      <w:r>
        <w:t xml:space="preserve">) instead of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>(</w:t>
      </w:r>
      <w:r>
        <w:rPr>
          <w:b/>
        </w:rPr>
        <w:t>ξ</w:t>
      </w:r>
      <w:r>
        <w:t xml:space="preserve">). Furthermore, to simplify notation, we shall refer to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[ξ]</w:t>
      </w:r>
      <w:r>
        <w:t xml:space="preserve"> simply as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. This is then a new meaning for the symbol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.  These new </w:t>
      </w:r>
      <w:r w:rsidRPr="00BB0F0A">
        <w:rPr>
          <w:b/>
        </w:rPr>
        <w:t>e</w:t>
      </w:r>
      <w:r>
        <w:rPr>
          <w:rStyle w:val="subscript"/>
        </w:rPr>
        <w:t xml:space="preserve">n </w:t>
      </w:r>
      <w:r>
        <w:t xml:space="preserve">are vectors in ξ-space of Picture C1, whereas the old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 were vectors in x-space of Picture A. In both cases, the </w:t>
      </w:r>
      <w:r w:rsidRPr="00BB0F0A">
        <w:rPr>
          <w:b/>
        </w:rPr>
        <w:t>e</w:t>
      </w:r>
      <w:r>
        <w:rPr>
          <w:rStyle w:val="subscript"/>
        </w:rPr>
        <w:t>n</w:t>
      </w:r>
      <w:r>
        <w:t xml:space="preserve"> are the tangent base vectors for "the space on the right", and in both pictures (</w:t>
      </w:r>
      <w:r w:rsidRPr="006547A7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. In Picture C1, and with these new 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 xml:space="preserve">, we have </w:t>
      </w:r>
      <w:r w:rsidRPr="00B940DE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B940DE">
        <w:rPr>
          <w:b/>
        </w:rPr>
        <w:t>e</w:t>
      </w:r>
      <w:r>
        <w:rPr>
          <w:rStyle w:val="subscript"/>
        </w:rPr>
        <w:t>m</w:t>
      </w:r>
      <w:r>
        <w:t xml:space="preserve"> = g</w:t>
      </w:r>
      <w:r>
        <w:rPr>
          <w:rStyle w:val="subscript"/>
        </w:rPr>
        <w:t>nm</w:t>
      </w:r>
      <w:r>
        <w:t xml:space="preserve">, where g is the metric tensor for the left space. If it happens that x-space of Picture C1 is Cartesian (g = 1) then 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>(</w:t>
      </w:r>
      <w:r w:rsidRPr="008D0FC8">
        <w:rPr>
          <w:b/>
        </w:rPr>
        <w:t>x</w:t>
      </w:r>
      <w:r>
        <w:t xml:space="preserve">) = </w:t>
      </w:r>
      <w:r w:rsidRPr="008D0FC8">
        <w:rPr>
          <w:b/>
        </w:rPr>
        <w:fldChar w:fldCharType="begin"/>
      </w:r>
      <w:r w:rsidRPr="008D0FC8">
        <w:rPr>
          <w:b/>
        </w:rPr>
        <w:instrText xml:space="preserve"> EQ \O(n,\S\up2(^))</w:instrText>
      </w:r>
      <w:r w:rsidRPr="008D0FC8">
        <w:rPr>
          <w:b/>
        </w:rPr>
        <w:fldChar w:fldCharType="end"/>
      </w:r>
      <w:r>
        <w:t xml:space="preserve">  = constant vectors. In this case, we would certainly conclude that ∂</w:t>
      </w:r>
      <w:r>
        <w:rPr>
          <w:rStyle w:val="subscript"/>
        </w:rPr>
        <w:t>i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>(</w:t>
      </w:r>
      <w:r w:rsidRPr="008D0FC8">
        <w:rPr>
          <w:b/>
        </w:rPr>
        <w:t>x</w:t>
      </w:r>
      <w:r>
        <w:t>) = ∂</w:t>
      </w:r>
      <w:r w:rsidRPr="008D0FC8">
        <w:rPr>
          <w:b/>
        </w:rPr>
        <w:t>e</w:t>
      </w:r>
      <w:r>
        <w:rPr>
          <w:rStyle w:val="subscript"/>
        </w:rPr>
        <w:t>n</w:t>
      </w:r>
      <w:r>
        <w:t>(x)/∂x</w:t>
      </w:r>
      <w:r>
        <w:rPr>
          <w:rStyle w:val="superscript"/>
        </w:rPr>
        <w:t>i</w:t>
      </w:r>
      <w:r>
        <w:t xml:space="preserve"> =  ∂</w:t>
      </w:r>
      <w:r>
        <w:rPr>
          <w:rStyle w:val="subscript"/>
        </w:rPr>
        <w:t>i</w:t>
      </w:r>
      <w:r w:rsidRPr="008D0FC8">
        <w:rPr>
          <w:b/>
        </w:rPr>
        <w:fldChar w:fldCharType="begin"/>
      </w:r>
      <w:r w:rsidRPr="008D0FC8">
        <w:rPr>
          <w:b/>
        </w:rPr>
        <w:instrText xml:space="preserve"> EQ \O(n,\S\up2(^))</w:instrText>
      </w:r>
      <w:r w:rsidRPr="008D0FC8">
        <w:rPr>
          <w:b/>
        </w:rPr>
        <w:fldChar w:fldCharType="end"/>
      </w:r>
      <w:r>
        <w:t xml:space="preserve"> = 0. Below we shall define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r>
        <w:t xml:space="preserve"> ≡ </w:t>
      </w:r>
      <w:r w:rsidRPr="00BB2D92">
        <w:rPr>
          <w:b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rPr>
          <w:color w:val="000000"/>
        </w:rPr>
        <w:t xml:space="preserve"> so if x-space is Cartesian, then certainly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r>
        <w:t xml:space="preserve"> = 0, so</w:t>
      </w:r>
    </w:p>
    <w:p w14:paraId="57421F1C" w14:textId="77777777" w:rsidR="00801E4D" w:rsidRDefault="00801E4D" w:rsidP="00801E4D"/>
    <w:p w14:paraId="1EB0686A" w14:textId="77777777" w:rsidR="00801E4D" w:rsidRPr="00C63369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  <w:t xml:space="preserve">Γ = 0 for a Cartesian x-space in the context of Picture C1. </w:t>
      </w:r>
      <w:r>
        <w:tab/>
      </w:r>
      <w:r>
        <w:tab/>
      </w:r>
      <w:r>
        <w:tab/>
      </w:r>
      <w:r>
        <w:tab/>
      </w:r>
      <w:r>
        <w:tab/>
        <w:t>(F.1.3)</w:t>
      </w:r>
    </w:p>
    <w:p w14:paraId="70A26BEB" w14:textId="77777777" w:rsidR="00801E4D" w:rsidRDefault="00801E4D" w:rsidP="00801E4D"/>
    <w:p w14:paraId="2213062B" w14:textId="77777777" w:rsidR="00801E4D" w:rsidRDefault="00801E4D" w:rsidP="00801E4D">
      <w:r>
        <w:t xml:space="preserve">Although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r>
        <w:t xml:space="preserve"> is the dot product of two vectors in ξ-space, it is determined by the nature of x-space. In particular, Γ is determined by the metric tensor g</w:t>
      </w:r>
      <w:r>
        <w:rPr>
          <w:rStyle w:val="subscript"/>
        </w:rPr>
        <w:t>nm</w:t>
      </w:r>
      <w:r>
        <w:t xml:space="preserve"> of x-space, a fact that is explicitly shown in (F.4.1) below: 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r>
        <w:t xml:space="preserve"> = (1/2) g</w:t>
      </w:r>
      <w:r>
        <w:rPr>
          <w:rStyle w:val="superscript"/>
        </w:rPr>
        <w:t>dc</w:t>
      </w:r>
      <w:r>
        <w:t xml:space="preserve"> 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+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–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 xml:space="preserve">]. </w:t>
      </w:r>
    </w:p>
    <w:p w14:paraId="4EE05365" w14:textId="77777777" w:rsidR="00801E4D" w:rsidRDefault="00801E4D" w:rsidP="00801E4D">
      <w:r>
        <w:tab/>
      </w:r>
    </w:p>
    <w:p w14:paraId="0EEC373D" w14:textId="77777777" w:rsidR="00801E4D" w:rsidRDefault="00801E4D" w:rsidP="00801E4D">
      <w:r>
        <w:t xml:space="preserve">If we were to make a new version of Picture C1 with x'-space on the left, and </w:t>
      </w:r>
      <w:r w:rsidRPr="00201B8C">
        <w:rPr>
          <w:b/>
        </w:rPr>
        <w:t>x</w:t>
      </w:r>
      <w:r>
        <w:t xml:space="preserve">' = </w:t>
      </w:r>
      <w:r w:rsidRPr="00201B8C">
        <w:rPr>
          <w:b/>
        </w:rPr>
        <w:t>F</w:t>
      </w:r>
      <w:r>
        <w:t>'(</w:t>
      </w:r>
      <w:r w:rsidRPr="00201B8C">
        <w:rPr>
          <w:b/>
        </w:rPr>
        <w:t>ξ</w:t>
      </w:r>
      <w:r>
        <w:t xml:space="preserve">) with R' and S', we would then use the notation 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r>
        <w:t xml:space="preserve"> ≡ 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t xml:space="preserve"> where this Γ' is determined by the g'</w:t>
      </w:r>
      <w:r>
        <w:rPr>
          <w:rStyle w:val="subscript"/>
        </w:rPr>
        <w:t>nm</w:t>
      </w:r>
      <w:r>
        <w:t xml:space="preserve"> of x'-space and 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are the corresponding tangent base vectors in ξ-space given by (</w:t>
      </w:r>
      <w:r w:rsidRPr="00201B8C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R'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. Here is a comparison:</w:t>
      </w:r>
    </w:p>
    <w:p w14:paraId="170FE811" w14:textId="77777777" w:rsidR="00801E4D" w:rsidRDefault="00801E4D" w:rsidP="00801E4D"/>
    <w:p w14:paraId="5846A3E6" w14:textId="77777777" w:rsidR="00801E4D" w:rsidRDefault="00801E4D" w:rsidP="00801E4D">
      <w:r>
        <w:tab/>
      </w:r>
      <w:r>
        <w:pict w14:anchorId="3F88820B">
          <v:shape id="_x0000_i1028" type="#_x0000_t75" style="width:208.5pt;height:65.25pt">
            <v:imagedata r:id="rId6" o:title=""/>
          </v:shape>
        </w:pict>
      </w:r>
      <w:r>
        <w:tab/>
      </w:r>
      <w:r>
        <w:pict w14:anchorId="72F1BF3A">
          <v:shape id="_x0000_i1029" type="#_x0000_t75" style="width:205.5pt;height:63.75pt">
            <v:imagedata r:id="rId8" o:title=""/>
          </v:shape>
        </w:pict>
      </w:r>
      <w:r>
        <w:t xml:space="preserve">  </w:t>
      </w:r>
      <w:r>
        <w:tab/>
      </w:r>
    </w:p>
    <w:p w14:paraId="290A9296" w14:textId="77777777" w:rsidR="00801E4D" w:rsidRPr="00C63369" w:rsidRDefault="00801E4D" w:rsidP="00801E4D">
      <w:r>
        <w:tab/>
      </w:r>
      <w:r>
        <w:tab/>
        <w:t xml:space="preserve"> 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r>
        <w:t xml:space="preserve"> = </w:t>
      </w:r>
      <w:r w:rsidRPr="00BB2D92">
        <w:rPr>
          <w:b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tab/>
        <w:t>(</w:t>
      </w:r>
      <w:r w:rsidRPr="00EF478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ab/>
      </w:r>
      <w:r>
        <w:tab/>
        <w:t xml:space="preserve">      </w:t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r>
        <w:t xml:space="preserve"> = 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tab/>
      </w:r>
      <w:r>
        <w:tab/>
        <w:t>(</w:t>
      </w:r>
      <w:r w:rsidRPr="00EF4781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R'</w:t>
      </w:r>
      <w:r>
        <w:rPr>
          <w:rStyle w:val="subscript"/>
        </w:rPr>
        <w:t>n</w:t>
      </w:r>
      <w:r>
        <w:rPr>
          <w:rStyle w:val="superscript"/>
        </w:rPr>
        <w:t>i</w:t>
      </w:r>
    </w:p>
    <w:p w14:paraId="15A64AC7" w14:textId="77777777" w:rsidR="00801E4D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(F.1.4)</w:t>
      </w:r>
    </w:p>
    <w:p w14:paraId="278F764E" w14:textId="77777777" w:rsidR="00801E4D" w:rsidRPr="00C63369" w:rsidRDefault="00801E4D" w:rsidP="00801E4D"/>
    <w:p w14:paraId="45BA6926" w14:textId="77777777" w:rsidR="00801E4D" w:rsidRDefault="00801E4D" w:rsidP="00801E4D">
      <w:r>
        <w:t xml:space="preserve">Later on, we will want to talk about the affine connection in the context of Picture B. </w:t>
      </w:r>
    </w:p>
    <w:p w14:paraId="1B60B657" w14:textId="77777777" w:rsidR="00801E4D" w:rsidRDefault="00801E4D" w:rsidP="00801E4D"/>
    <w:p w14:paraId="683FF1C8" w14:textId="77777777" w:rsidR="00801E4D" w:rsidRPr="00A927A9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3F420F1A">
          <v:shape id="_x0000_i1030" type="#_x0000_t75" style="width:232.5pt;height:72.75pt">
            <v:imagedata r:id="rId9" o:title=""/>
          </v:shape>
        </w:pict>
      </w:r>
      <w:r>
        <w:tab/>
      </w:r>
      <w:r>
        <w:tab/>
      </w:r>
      <w:r>
        <w:tab/>
        <w:t>(F.1.4B)</w:t>
      </w:r>
    </w:p>
    <w:p w14:paraId="782B7F1D" w14:textId="77777777" w:rsidR="00801E4D" w:rsidRDefault="00801E4D" w:rsidP="00801E4D">
      <w:r>
        <w:tab/>
      </w:r>
      <w:r>
        <w:tab/>
      </w:r>
      <w:r>
        <w:tab/>
      </w:r>
      <w:r>
        <w:tab/>
      </w:r>
      <w:r>
        <w:tab/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in</w:t>
      </w:r>
      <w:r>
        <w:t xml:space="preserve"> = </w:t>
      </w:r>
      <w:r w:rsidRPr="00BB2D92">
        <w:rPr>
          <w:b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i</w:t>
      </w:r>
      <w:r w:rsidRPr="00BB2D92">
        <w:rPr>
          <w:b/>
        </w:rPr>
        <w:t>e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tab/>
        <w:t>(</w:t>
      </w:r>
      <w:r w:rsidRPr="00EF478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</w:p>
    <w:p w14:paraId="37B8663C" w14:textId="77777777" w:rsidR="00801E4D" w:rsidRDefault="00801E4D" w:rsidP="00801E4D"/>
    <w:p w14:paraId="3836D873" w14:textId="77777777" w:rsidR="00801E4D" w:rsidRPr="00A927A9" w:rsidRDefault="00801E4D" w:rsidP="00801E4D">
      <w:r>
        <w:t xml:space="preserve">where </w:t>
      </w:r>
      <w:r w:rsidRPr="001548B3">
        <w:rPr>
          <w:b/>
        </w:rPr>
        <w:t>e</w:t>
      </w:r>
      <w:r>
        <w:rPr>
          <w:rStyle w:val="subscript"/>
        </w:rPr>
        <w:t>n</w:t>
      </w:r>
      <w:r>
        <w:t xml:space="preserve"> are the usual tangent base vectors of Chapter 3. Notice the primes on Γ' and ∂'</w:t>
      </w:r>
      <w:r>
        <w:rPr>
          <w:rStyle w:val="subscript"/>
        </w:rPr>
        <w:t>i</w:t>
      </w:r>
      <w:r>
        <w:t xml:space="preserve"> which correspond to the fact that the curvilinear coordinates in Picture B are </w:t>
      </w:r>
      <w:r w:rsidRPr="0067224C">
        <w:rPr>
          <w:b/>
        </w:rPr>
        <w:t>x</w:t>
      </w:r>
      <w:r>
        <w:t xml:space="preserve">'. Since x-space is Cartesian in this Picture, we have Γ = 0 as in (F.1.3). </w:t>
      </w:r>
    </w:p>
    <w:p w14:paraId="2B1A86A6" w14:textId="77777777" w:rsidR="00801E4D" w:rsidRDefault="00801E4D" w:rsidP="00801E4D"/>
    <w:p w14:paraId="33AC6419" w14:textId="77777777" w:rsidR="00801E4D" w:rsidRPr="0067224C" w:rsidRDefault="00801E4D" w:rsidP="00801E4D">
      <w:r>
        <w:t xml:space="preserve">The moral of the story here is that one must be very conscious of the Picture one is currently using. </w:t>
      </w:r>
    </w:p>
    <w:p w14:paraId="7788EC18" w14:textId="77777777" w:rsidR="00801E4D" w:rsidRDefault="00801E4D" w:rsidP="00801E4D"/>
    <w:p w14:paraId="5AD64CD4" w14:textId="77777777" w:rsidR="00801E4D" w:rsidRDefault="00801E4D" w:rsidP="00801E4D">
      <w:r w:rsidRPr="00F87177">
        <w:rPr>
          <w:u w:val="single"/>
        </w:rPr>
        <w:lastRenderedPageBreak/>
        <w:t>Definition of the Affine Connection</w:t>
      </w:r>
      <w:r>
        <w:rPr>
          <w:u w:val="single"/>
        </w:rPr>
        <w:t xml:space="preserve"> in Picture C1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4E4172" w14:textId="77777777" w:rsidR="00801E4D" w:rsidRDefault="00801E4D" w:rsidP="00801E4D">
      <w:r>
        <w:t xml:space="preserve">Each </w:t>
      </w:r>
      <w:r w:rsidRPr="00DB0801">
        <w:rPr>
          <w:b/>
        </w:rPr>
        <w:t>e</w:t>
      </w:r>
      <w:r>
        <w:rPr>
          <w:rStyle w:val="subscript"/>
        </w:rPr>
        <w:t>n</w:t>
      </w:r>
      <w:r>
        <w:t>(</w:t>
      </w:r>
      <w:r w:rsidRPr="00DB0801">
        <w:rPr>
          <w:b/>
        </w:rPr>
        <w:t>x</w:t>
      </w:r>
      <w:r>
        <w:t xml:space="preserve">) (by our new definition above) varies with </w:t>
      </w:r>
      <w:r w:rsidRPr="00DB0801">
        <w:rPr>
          <w:b/>
        </w:rPr>
        <w:t>x</w:t>
      </w:r>
      <w:r>
        <w:t xml:space="preserve">, and one wonders just </w:t>
      </w:r>
      <w:r w:rsidRPr="007E2D31">
        <w:rPr>
          <w:i/>
        </w:rPr>
        <w:t>how</w:t>
      </w:r>
      <w:r>
        <w:t xml:space="preserve"> 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 xml:space="preserve"> varies with </w:t>
      </w:r>
      <w:r w:rsidRPr="00DB0801">
        <w:rPr>
          <w:b/>
        </w:rPr>
        <w:t>x</w:t>
      </w:r>
      <w:r>
        <w:t>. For a small variation d</w:t>
      </w:r>
      <w:r>
        <w:rPr>
          <w:b/>
        </w:rPr>
        <w:t>x</w:t>
      </w:r>
      <w:r>
        <w:t xml:space="preserve"> in the x-space coordinates of Picture C1, one has,</w:t>
      </w:r>
    </w:p>
    <w:p w14:paraId="5731A9D9" w14:textId="77777777" w:rsidR="00801E4D" w:rsidRDefault="00801E4D" w:rsidP="00801E4D"/>
    <w:p w14:paraId="274DD834" w14:textId="77777777" w:rsidR="00801E4D" w:rsidRPr="00871BA4" w:rsidRDefault="00801E4D" w:rsidP="00801E4D">
      <w:pPr>
        <w:rPr>
          <w:rStyle w:val="superscript"/>
        </w:rPr>
      </w:pPr>
      <w:r>
        <w:tab/>
        <w:t>d(</w:t>
      </w:r>
      <w:r w:rsidRPr="00C418B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 </w:t>
      </w:r>
      <w:r w:rsidRPr="00DB0801">
        <w:t>∂</w:t>
      </w:r>
      <w:r>
        <w:rPr>
          <w:rStyle w:val="subscript"/>
        </w:rPr>
        <w:t>j</w:t>
      </w:r>
      <w:r>
        <w:t>(</w:t>
      </w:r>
      <w:r w:rsidRPr="00C418B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dx</w:t>
      </w:r>
      <w:r>
        <w:rPr>
          <w:rStyle w:val="superscript"/>
        </w:rPr>
        <w:t>j</w:t>
      </w:r>
      <w:r>
        <w:t xml:space="preserve"> </w:t>
      </w:r>
      <w:r>
        <w:tab/>
      </w:r>
      <w:r>
        <w:tab/>
        <w:t xml:space="preserve">//  </w:t>
      </w:r>
      <w:r w:rsidRPr="00DB0801">
        <w:t>∂</w:t>
      </w:r>
      <w:r>
        <w:rPr>
          <w:rStyle w:val="subscript"/>
        </w:rPr>
        <w:t>j</w:t>
      </w:r>
      <w:r>
        <w:t xml:space="preserve"> ≡ ∂/∂x</w:t>
      </w:r>
      <w:r>
        <w:rPr>
          <w:rStyle w:val="superscript"/>
        </w:rPr>
        <w:t>i</w:t>
      </w:r>
    </w:p>
    <w:p w14:paraId="706C0BB8" w14:textId="77777777" w:rsidR="00801E4D" w:rsidRDefault="00801E4D" w:rsidP="00801E4D">
      <w:r>
        <w:t>or</w:t>
      </w:r>
    </w:p>
    <w:p w14:paraId="7C0A80F6" w14:textId="77777777" w:rsidR="00801E4D" w:rsidRPr="00061BE6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 = (</w:t>
      </w:r>
      <w:r w:rsidRPr="00DB0801">
        <w:t>∂</w:t>
      </w:r>
      <w:r>
        <w:rPr>
          <w:rStyle w:val="subscript"/>
        </w:rPr>
        <w:t>j</w:t>
      </w:r>
      <w:r w:rsidRPr="00C418B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 w:rsidRPr="00612F0F">
        <w:t xml:space="preserve"> </w:t>
      </w:r>
      <w:r>
        <w:t>dx</w:t>
      </w:r>
      <w:r>
        <w:rPr>
          <w:rStyle w:val="superscript"/>
        </w:rPr>
        <w:t>j</w:t>
      </w:r>
      <w:r>
        <w:t xml:space="preserve"> .</w:t>
      </w:r>
      <w:r>
        <w:tab/>
      </w:r>
      <w:r>
        <w:tab/>
        <w:t>//  ∂</w:t>
      </w:r>
      <w:r>
        <w:rPr>
          <w:rStyle w:val="subscript"/>
        </w:rPr>
        <w:t>x</w:t>
      </w:r>
      <w:r>
        <w:t>(f</w:t>
      </w:r>
      <w:r>
        <w:rPr>
          <w:rStyle w:val="superscript"/>
        </w:rPr>
        <w:t>i</w:t>
      </w:r>
      <w:r>
        <w:t xml:space="preserve">) =  </w:t>
      </w:r>
      <w:r>
        <w:fldChar w:fldCharType="begin"/>
      </w:r>
      <w:r>
        <w:instrText xml:space="preserve"> EQ \f(∂(f</w:instrText>
      </w:r>
      <w:r>
        <w:rPr>
          <w:rStyle w:val="superscript"/>
        </w:rPr>
        <w:instrText>i</w:instrText>
      </w:r>
      <w:r>
        <w:instrText xml:space="preserve">),dx)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i</w:instrText>
      </w:r>
      <w:r>
        <w:instrText xml:space="preserve">,dx) </w:instrText>
      </w:r>
      <w:r>
        <w:fldChar w:fldCharType="end"/>
      </w:r>
      <w:r>
        <w:tab/>
        <w:t>= (∂</w:t>
      </w:r>
      <w:r>
        <w:rPr>
          <w:rStyle w:val="subscript"/>
        </w:rPr>
        <w:t>x</w:t>
      </w:r>
      <w:r>
        <w:t>f</w:t>
      </w:r>
      <w:r>
        <w:rPr>
          <w:rStyle w:val="superscript"/>
        </w:rPr>
        <w:t>i</w:t>
      </w:r>
      <w:r>
        <w:t xml:space="preserve">) </w:t>
      </w:r>
      <w:r>
        <w:tab/>
      </w:r>
    </w:p>
    <w:p w14:paraId="3A024598" w14:textId="77777777" w:rsidR="00801E4D" w:rsidRDefault="00801E4D" w:rsidP="00801E4D"/>
    <w:p w14:paraId="0434A52D" w14:textId="77777777" w:rsidR="00801E4D" w:rsidRPr="00DA4F55" w:rsidRDefault="00801E4D" w:rsidP="00801E4D">
      <w:r>
        <w:t xml:space="preserve">Since </w:t>
      </w:r>
      <w:r w:rsidRPr="00DB0801">
        <w:rPr>
          <w:b/>
        </w:rPr>
        <w:t>e</w:t>
      </w:r>
      <w:r>
        <w:rPr>
          <w:rStyle w:val="subscript"/>
        </w:rPr>
        <w:t>n</w:t>
      </w:r>
      <w:r>
        <w:t xml:space="preserve"> and (∂</w:t>
      </w:r>
      <w:r>
        <w:rPr>
          <w:rStyle w:val="subscript"/>
        </w:rPr>
        <w:t>j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 xml:space="preserve">) are both vectors in ξ-space, and since the </w:t>
      </w:r>
      <w:r w:rsidRPr="00C418B1">
        <w:rPr>
          <w:b/>
        </w:rPr>
        <w:t>e</w:t>
      </w:r>
      <w:r>
        <w:rPr>
          <w:rStyle w:val="subscript"/>
        </w:rPr>
        <w:t>k</w:t>
      </w:r>
      <w:r>
        <w:t xml:space="preserve"> are known to form a complete basis in ξ-space, it must be possible to expand (∂</w:t>
      </w:r>
      <w:r>
        <w:rPr>
          <w:rStyle w:val="subscript"/>
        </w:rPr>
        <w:t>j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 xml:space="preserve">) on the </w:t>
      </w:r>
      <w:r w:rsidRPr="007E2D31">
        <w:rPr>
          <w:b/>
        </w:rPr>
        <w:t>e</w:t>
      </w:r>
      <w:r>
        <w:rPr>
          <w:rStyle w:val="subscript"/>
        </w:rPr>
        <w:t>k</w:t>
      </w:r>
      <w:r>
        <w:t xml:space="preserve"> with some appropriate coefficients, call them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:</w:t>
      </w:r>
    </w:p>
    <w:p w14:paraId="72B1515D" w14:textId="77777777" w:rsidR="00801E4D" w:rsidRDefault="00801E4D" w:rsidP="00801E4D"/>
    <w:p w14:paraId="178B4876" w14:textId="77777777" w:rsidR="00801E4D" w:rsidRPr="00F134AE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r>
        <w:t xml:space="preserve">) =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 w:rsidRPr="00AF02D8">
        <w:rPr>
          <w:b/>
        </w:rPr>
        <w:t xml:space="preserve"> </w:t>
      </w:r>
      <w:r w:rsidRPr="00BB2D92">
        <w:rPr>
          <w:b/>
        </w:rPr>
        <w:t>e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</w:r>
      <w:r>
        <w:sym w:font="Symbol" w:char="F0DE"/>
      </w:r>
      <w:r>
        <w:tab/>
        <w:t>(d</w:t>
      </w:r>
      <w:r w:rsidRPr="007E2D31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 w:rsidRPr="00AF02D8">
        <w:rPr>
          <w:b/>
        </w:rPr>
        <w:t xml:space="preserve"> </w:t>
      </w:r>
      <w:r>
        <w:rPr>
          <w:b/>
        </w:rPr>
        <w:t>(</w:t>
      </w:r>
      <w:r w:rsidRPr="00BB2D92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perscript"/>
        </w:rPr>
        <w:t>i</w:t>
      </w:r>
      <w:r>
        <w:t xml:space="preserve"> dx</w:t>
      </w:r>
      <w:r>
        <w:rPr>
          <w:rStyle w:val="superscript"/>
        </w:rPr>
        <w:t>j</w:t>
      </w:r>
      <w:r>
        <w:tab/>
      </w:r>
      <w:r>
        <w:tab/>
      </w:r>
      <w:r>
        <w:tab/>
      </w:r>
      <w:r>
        <w:tab/>
      </w:r>
      <w:r>
        <w:tab/>
        <w:t>(F.1.5)</w:t>
      </w:r>
    </w:p>
    <w:p w14:paraId="55678B17" w14:textId="77777777" w:rsidR="00801E4D" w:rsidRDefault="00801E4D" w:rsidP="00801E4D"/>
    <w:p w14:paraId="004FE25A" w14:textId="77777777" w:rsidR="00801E4D" w:rsidRDefault="00801E4D" w:rsidP="00801E4D">
      <w:r>
        <w:t xml:space="preserve">Dotting the left equation into </w:t>
      </w:r>
      <w:r w:rsidRPr="00612F0F">
        <w:rPr>
          <w:b/>
        </w:rPr>
        <w:t>e</w:t>
      </w:r>
      <w:r>
        <w:rPr>
          <w:rStyle w:val="superscript"/>
        </w:rPr>
        <w:t>m</w:t>
      </w:r>
      <w:r>
        <w:t xml:space="preserve"> , using </w:t>
      </w:r>
      <w:r w:rsidRPr="004D753F">
        <w:rPr>
          <w:b/>
        </w:rPr>
        <w:t>e</w:t>
      </w:r>
      <w:r>
        <w:rPr>
          <w:rStyle w:val="superscript"/>
        </w:rPr>
        <w:t>m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k</w:t>
      </w:r>
      <w:r>
        <w:t xml:space="preserve"> = δ</w:t>
      </w:r>
      <w:r>
        <w:rPr>
          <w:rStyle w:val="subscript"/>
        </w:rPr>
        <w:t>m,k</w:t>
      </w:r>
      <w:r>
        <w:t xml:space="preserve"> as in (7.18.1), then doing m→ k gives</w:t>
      </w:r>
    </w:p>
    <w:p w14:paraId="13AB46E1" w14:textId="77777777" w:rsidR="00801E4D" w:rsidRDefault="00801E4D" w:rsidP="00801E4D"/>
    <w:p w14:paraId="2CCAD159" w14:textId="77777777" w:rsidR="00801E4D" w:rsidRDefault="00801E4D" w:rsidP="00801E4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= </w:t>
      </w:r>
      <w:r w:rsidRPr="00BB2D92">
        <w:rPr>
          <w:b/>
        </w:rPr>
        <w:t>e</w:t>
      </w:r>
      <w:r>
        <w:rPr>
          <w:rStyle w:val="superscript"/>
        </w:rPr>
        <w:t>k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rPr>
          <w:color w:val="000000"/>
        </w:rPr>
        <w:t xml:space="preserve">   =  </w:t>
      </w:r>
      <w:r>
        <w:t>(</w:t>
      </w:r>
      <w:r w:rsidRPr="00BB2D92">
        <w:rPr>
          <w:b/>
        </w:rPr>
        <w:t>e</w:t>
      </w:r>
      <w:r>
        <w:rPr>
          <w:rStyle w:val="superscript"/>
        </w:rPr>
        <w:t>k</w:t>
      </w:r>
      <w:r>
        <w:t>)</w:t>
      </w:r>
      <w:r>
        <w:rPr>
          <w:rStyle w:val="subscript"/>
        </w:rPr>
        <w:t>i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BB2D92">
        <w:rPr>
          <w:b/>
        </w:rPr>
        <w:t>e</w:t>
      </w:r>
      <w:r>
        <w:rPr>
          <w:rStyle w:val="subscript"/>
        </w:rPr>
        <w:t>n</w:t>
      </w:r>
      <w:r w:rsidRPr="00220D9C">
        <w:rPr>
          <w:color w:val="000000"/>
        </w:rPr>
        <w:t>)</w:t>
      </w:r>
      <w:r>
        <w:rPr>
          <w:rStyle w:val="superscript"/>
        </w:rPr>
        <w:t>i</w:t>
      </w:r>
      <w:r>
        <w:t xml:space="preserve">  =  </w:t>
      </w:r>
      <w:r w:rsidRPr="00F067BA"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i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j</w:t>
      </w:r>
      <w:r w:rsidRPr="00F067BA"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(F.1.6)</w:t>
      </w:r>
      <w:r>
        <w:rPr>
          <w:color w:val="000000"/>
        </w:rPr>
        <w:tab/>
      </w:r>
      <w:r>
        <w:rPr>
          <w:color w:val="000000"/>
        </w:rPr>
        <w:tab/>
      </w:r>
    </w:p>
    <w:p w14:paraId="7BCE2098" w14:textId="77777777" w:rsidR="00801E4D" w:rsidRDefault="00801E4D" w:rsidP="00801E4D">
      <w:pPr>
        <w:rPr>
          <w:color w:val="000000"/>
        </w:rPr>
      </w:pPr>
      <w:r>
        <w:rPr>
          <w:color w:val="000000"/>
        </w:rPr>
        <w:t xml:space="preserve">where we recall again from </w:t>
      </w:r>
      <w:r>
        <w:t xml:space="preserve">(7.18.1) </w:t>
      </w:r>
      <w:r>
        <w:rPr>
          <w:color w:val="000000"/>
        </w:rPr>
        <w:t xml:space="preserve">that  </w:t>
      </w:r>
    </w:p>
    <w:p w14:paraId="2DC574C2" w14:textId="77777777" w:rsidR="00801E4D" w:rsidRDefault="00801E4D" w:rsidP="00801E4D">
      <w:pPr>
        <w:rPr>
          <w:color w:val="000000"/>
        </w:rPr>
      </w:pPr>
    </w:p>
    <w:p w14:paraId="0B1D14F7" w14:textId="77777777" w:rsidR="00801E4D" w:rsidRPr="00C4524C" w:rsidRDefault="00801E4D" w:rsidP="00801E4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(</w:t>
      </w:r>
      <w:r w:rsidRPr="00BB2D92">
        <w:rPr>
          <w:b/>
        </w:rPr>
        <w:t>e</w:t>
      </w:r>
      <w:r>
        <w:rPr>
          <w:rStyle w:val="superscript"/>
        </w:rPr>
        <w:t>k</w:t>
      </w:r>
      <w:r>
        <w:t>)</w:t>
      </w:r>
      <w:r>
        <w:rPr>
          <w:rStyle w:val="subscript"/>
        </w:rPr>
        <w:t>i</w:t>
      </w:r>
      <w:r>
        <w:t xml:space="preserve"> = R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and  (</w:t>
      </w:r>
      <w:r w:rsidRPr="00BB2D92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ab/>
      </w:r>
      <w:r>
        <w:tab/>
      </w:r>
      <w:r w:rsidRPr="00C63369">
        <w:rPr>
          <w:i/>
          <w:color w:val="000000"/>
        </w:rPr>
        <w:t xml:space="preserve"> </w:t>
      </w:r>
      <w:r w:rsidRPr="00C63369">
        <w:rPr>
          <w:i/>
        </w:rPr>
        <w:t>(7.18.1)</w:t>
      </w:r>
      <w:r>
        <w:tab/>
      </w:r>
    </w:p>
    <w:p w14:paraId="75B9FD14" w14:textId="77777777" w:rsidR="00801E4D" w:rsidRDefault="00801E4D" w:rsidP="00801E4D"/>
    <w:p w14:paraId="7B2ECEB0" w14:textId="77777777" w:rsidR="00801E4D" w:rsidRDefault="00801E4D" w:rsidP="00801E4D">
      <w:r>
        <w:t xml:space="preserve">These coefficients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(</w:t>
      </w:r>
      <w:r w:rsidRPr="00B85097">
        <w:rPr>
          <w:b/>
        </w:rPr>
        <w:t>x</w:t>
      </w:r>
      <w:r>
        <w:t xml:space="preserve">) comprise a tensor-like field called the </w:t>
      </w:r>
      <w:r w:rsidRPr="00B85097">
        <w:rPr>
          <w:b/>
        </w:rPr>
        <w:t>affine connection</w:t>
      </w:r>
      <w:r>
        <w:t xml:space="preserve">, so we shall regard (F.1.5) as the definition of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in the context of Picture C1 above. With more standard index names, the above becomes</w:t>
      </w:r>
    </w:p>
    <w:p w14:paraId="4DBC41D4" w14:textId="77777777" w:rsidR="00801E4D" w:rsidRDefault="00801E4D" w:rsidP="00801E4D"/>
    <w:p w14:paraId="4A3640A6" w14:textId="77777777" w:rsidR="00801E4D" w:rsidRPr="00F134AE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r>
        <w:t xml:space="preserve"> = </w:t>
      </w:r>
      <w:r w:rsidRPr="00BB2D92">
        <w:rPr>
          <w:b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a</w:t>
      </w:r>
      <w:r w:rsidRPr="00BB2D92">
        <w:rPr>
          <w:b/>
        </w:rPr>
        <w:t>e</w:t>
      </w:r>
      <w:r>
        <w:rPr>
          <w:rStyle w:val="subscript"/>
        </w:rPr>
        <w:t>b</w:t>
      </w:r>
      <w:r w:rsidRPr="00220D9C">
        <w:rPr>
          <w:color w:val="000000"/>
        </w:rPr>
        <w:t>)</w:t>
      </w:r>
      <w:r>
        <w:rPr>
          <w:color w:val="000000"/>
        </w:rPr>
        <w:t xml:space="preserve">   =   </w:t>
      </w:r>
      <w:r w:rsidRPr="00F067BA"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(F.1.7)</w:t>
      </w:r>
    </w:p>
    <w:p w14:paraId="1E5B09F5" w14:textId="77777777" w:rsidR="00801E4D" w:rsidRDefault="00801E4D" w:rsidP="00801E4D"/>
    <w:p w14:paraId="2599B3D4" w14:textId="77777777" w:rsidR="00801E4D" w:rsidRDefault="00801E4D" w:rsidP="00801E4D">
      <w:pPr>
        <w:rPr>
          <w:color w:val="000000"/>
        </w:rPr>
      </w:pPr>
      <w:r>
        <w:rPr>
          <w:color w:val="000000"/>
        </w:rPr>
        <w:t>From</w:t>
      </w:r>
      <w:r w:rsidRPr="00EC4726">
        <w:rPr>
          <w:color w:val="000000"/>
        </w:rPr>
        <w:t xml:space="preserve"> (7.5.2) </w:t>
      </w:r>
      <w:r>
        <w:rPr>
          <w:color w:val="000000"/>
        </w:rPr>
        <w:t xml:space="preserve">we know that, adjusting to Picture C1, </w:t>
      </w:r>
    </w:p>
    <w:p w14:paraId="14948BDC" w14:textId="77777777" w:rsidR="00801E4D" w:rsidRDefault="00801E4D" w:rsidP="00801E4D">
      <w:pPr>
        <w:rPr>
          <w:color w:val="000000"/>
        </w:rPr>
      </w:pPr>
    </w:p>
    <w:p w14:paraId="21C6211C" w14:textId="77777777" w:rsidR="00801E4D" w:rsidRDefault="00801E4D" w:rsidP="00801E4D">
      <w:r>
        <w:rPr>
          <w:color w:val="000000"/>
        </w:rPr>
        <w:tab/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i</w:t>
      </w:r>
      <w:r>
        <w:t xml:space="preserve">  = (∂x</w:t>
      </w:r>
      <w:r>
        <w:rPr>
          <w:rStyle w:val="superscript"/>
        </w:rPr>
        <w:t>c</w:t>
      </w:r>
      <w:r>
        <w:t>/∂ξ</w:t>
      </w:r>
      <w:r>
        <w:rPr>
          <w:rStyle w:val="superscript"/>
        </w:rPr>
        <w:t>i</w:t>
      </w:r>
      <w:r>
        <w:t>)</w:t>
      </w:r>
    </w:p>
    <w:p w14:paraId="48F0ECC3" w14:textId="77777777" w:rsidR="00801E4D" w:rsidRDefault="00801E4D" w:rsidP="00801E4D">
      <w:r>
        <w:rPr>
          <w:color w:val="000000"/>
        </w:rPr>
        <w:tab/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 xml:space="preserve">i </w:t>
      </w:r>
      <w:r>
        <w:t xml:space="preserve"> = (∂ξ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b</w:t>
      </w:r>
      <w:r>
        <w:t>)</w:t>
      </w:r>
    </w:p>
    <w:p w14:paraId="5DB7DA84" w14:textId="77777777" w:rsidR="00801E4D" w:rsidRPr="00F134AE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220D9C">
        <w:rPr>
          <w:color w:val="000000"/>
        </w:rPr>
        <w:t>)</w:t>
      </w:r>
      <w:r>
        <w:t xml:space="preserve"> = (∂</w:t>
      </w:r>
      <w:r>
        <w:rPr>
          <w:rStyle w:val="superscript"/>
        </w:rPr>
        <w:t>2</w:t>
      </w:r>
      <w:r>
        <w:t>ξ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a</w:t>
      </w:r>
      <w:r>
        <w:t>∂x</w:t>
      </w:r>
      <w:r>
        <w:rPr>
          <w:rStyle w:val="superscript"/>
        </w:rPr>
        <w:t>b</w:t>
      </w:r>
      <w:r>
        <w:t xml:space="preserve">)   =  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b</w:t>
      </w:r>
      <w:r w:rsidRPr="00F067BA">
        <w:t>R</w:t>
      </w:r>
      <w:r>
        <w:rPr>
          <w:rStyle w:val="subscript"/>
        </w:rPr>
        <w:t>a</w:t>
      </w:r>
      <w:r>
        <w:rPr>
          <w:rStyle w:val="superscript"/>
        </w:rPr>
        <w:t>i</w:t>
      </w:r>
      <w:r w:rsidRPr="00220D9C">
        <w:rPr>
          <w:color w:val="000000"/>
        </w:rPr>
        <w:t>)</w:t>
      </w:r>
      <w:r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(F.1.8)</w:t>
      </w:r>
    </w:p>
    <w:p w14:paraId="7146E672" w14:textId="77777777" w:rsidR="00801E4D" w:rsidRDefault="00801E4D" w:rsidP="00801E4D"/>
    <w:p w14:paraId="4803A437" w14:textId="77777777" w:rsidR="00801E4D" w:rsidRDefault="00801E4D" w:rsidP="00801E4D">
      <w:r>
        <w:t>Therefore one can write</w:t>
      </w:r>
    </w:p>
    <w:p w14:paraId="4EBFB51C" w14:textId="77777777" w:rsidR="00801E4D" w:rsidRDefault="00801E4D" w:rsidP="00801E4D"/>
    <w:p w14:paraId="2B93D8ED" w14:textId="77777777" w:rsidR="00801E4D" w:rsidRPr="00F134AE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r>
        <w:t xml:space="preserve"> =</w:t>
      </w:r>
      <w:r w:rsidRPr="00C42DAE">
        <w:t xml:space="preserve"> </w:t>
      </w:r>
      <w:r w:rsidRPr="00F067BA"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220D9C">
        <w:rPr>
          <w:color w:val="000000"/>
        </w:rPr>
        <w:t>)</w:t>
      </w:r>
      <w:r>
        <w:rPr>
          <w:color w:val="000000"/>
        </w:rPr>
        <w:t xml:space="preserve">  =  </w:t>
      </w:r>
      <w:r>
        <w:t>(∂x</w:t>
      </w:r>
      <w:r>
        <w:rPr>
          <w:rStyle w:val="superscript"/>
        </w:rPr>
        <w:t>c</w:t>
      </w:r>
      <w:r>
        <w:t>/∂ξ</w:t>
      </w:r>
      <w:r>
        <w:rPr>
          <w:rStyle w:val="superscript"/>
        </w:rPr>
        <w:t>i</w:t>
      </w:r>
      <w:r>
        <w:t>)</w:t>
      </w:r>
      <w:r w:rsidRPr="00C42DAE">
        <w:t xml:space="preserve"> </w:t>
      </w:r>
      <w:r>
        <w:t>(∂</w:t>
      </w:r>
      <w:r>
        <w:rPr>
          <w:rStyle w:val="superscript"/>
        </w:rPr>
        <w:t>2</w:t>
      </w:r>
      <w:r>
        <w:t>ξ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a</w:t>
      </w:r>
      <w:r>
        <w:t>∂x</w:t>
      </w:r>
      <w:r>
        <w:rPr>
          <w:rStyle w:val="superscript"/>
        </w:rPr>
        <w:t>b</w:t>
      </w:r>
      <w:r>
        <w:t xml:space="preserve">)  = 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c</w:instrText>
      </w:r>
      <w:r>
        <w:instrText>,∂ξ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x</w:instrText>
      </w:r>
      <w:r>
        <w:rPr>
          <w:rStyle w:val="superscript"/>
        </w:rPr>
        <w:instrText>i</w:instrText>
      </w:r>
      <w:r>
        <w:instrText>,</w:instrText>
      </w:r>
      <w:r w:rsidRPr="00612F0F">
        <w:instrText xml:space="preserve"> </w:instrText>
      </w:r>
      <w:r>
        <w:instrText>∂ξ</w:instrText>
      </w:r>
      <w:r>
        <w:rPr>
          <w:rStyle w:val="superscript"/>
        </w:rPr>
        <w:instrText>a</w:instrText>
      </w:r>
      <w:r>
        <w:instrText>∂ξ</w:instrText>
      </w:r>
      <w:r>
        <w:rPr>
          <w:rStyle w:val="superscript"/>
        </w:rPr>
        <w:instrText>b</w:instrText>
      </w:r>
      <w:r>
        <w:instrText xml:space="preserve">) </w:instrText>
      </w:r>
      <w:r>
        <w:fldChar w:fldCharType="end"/>
      </w:r>
      <w:r>
        <w:t xml:space="preserve"> , </w:t>
      </w:r>
      <w:r>
        <w:tab/>
      </w:r>
      <w:r>
        <w:tab/>
      </w:r>
      <w:r>
        <w:tab/>
      </w:r>
      <w:r>
        <w:tab/>
        <w:t>(F.1.9)</w:t>
      </w:r>
    </w:p>
    <w:p w14:paraId="61F5C932" w14:textId="77777777" w:rsidR="00801E4D" w:rsidRPr="00C42DAE" w:rsidRDefault="00801E4D" w:rsidP="00801E4D"/>
    <w:p w14:paraId="2D347FD9" w14:textId="77777777" w:rsidR="00801E4D" w:rsidRDefault="00801E4D" w:rsidP="00801E4D">
      <w:r>
        <w:t xml:space="preserve">which form appears in Weinberg p 100 (4.5.1). Notice in (F.1.8) that </w:t>
      </w:r>
      <w:r w:rsidRPr="00220D9C">
        <w:rPr>
          <w:color w:val="000000"/>
        </w:rPr>
        <w:t>(∂</w:t>
      </w:r>
      <w:r>
        <w:rPr>
          <w:rStyle w:val="subscript"/>
          <w:color w:val="000000"/>
        </w:rPr>
        <w:t>b</w:t>
      </w:r>
      <w:r w:rsidRPr="00F067BA">
        <w:t>R</w:t>
      </w:r>
      <w:r>
        <w:rPr>
          <w:rStyle w:val="subscript"/>
        </w:rPr>
        <w:t>c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= </w:t>
      </w:r>
      <w:r w:rsidRPr="00220D9C">
        <w:rPr>
          <w:color w:val="000000"/>
        </w:rPr>
        <w:t>(∂</w:t>
      </w:r>
      <w:r>
        <w:rPr>
          <w:rStyle w:val="subscript"/>
          <w:color w:val="000000"/>
        </w:rPr>
        <w:t>c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  <w:r>
        <w:t xml:space="preserve"> so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bc</w:t>
      </w:r>
      <w:r>
        <w:t xml:space="preserve"> is symmetric on the lower two indices. In the next section an alternate form for Γ is derived, so both forms will be stated here: </w:t>
      </w:r>
    </w:p>
    <w:p w14:paraId="521964E6" w14:textId="77777777" w:rsidR="00801E4D" w:rsidRDefault="00801E4D" w:rsidP="00801E4D"/>
    <w:p w14:paraId="3340A6D2" w14:textId="77777777" w:rsidR="00801E4D" w:rsidRPr="00823CE9" w:rsidRDefault="00801E4D" w:rsidP="00801E4D">
      <w:r>
        <w:lastRenderedPageBreak/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r>
        <w:t xml:space="preserve"> =    </w:t>
      </w:r>
      <w:r w:rsidRPr="00F067BA"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</w:t>
      </w:r>
      <w:r w:rsidRPr="00220D9C">
        <w:rPr>
          <w:color w:val="000000"/>
        </w:rPr>
        <w:t>(</w:t>
      </w:r>
      <w:r w:rsidRPr="00DA4F55">
        <w:rPr>
          <w:color w:val="000000"/>
        </w:rPr>
        <w:t>∂</w:t>
      </w:r>
      <w:r>
        <w:rPr>
          <w:rStyle w:val="subscript"/>
          <w:color w:val="000000"/>
        </w:rPr>
        <w:t>a</w:t>
      </w:r>
      <w:r w:rsidRPr="00F067BA"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220D9C">
        <w:rPr>
          <w:color w:val="000000"/>
        </w:rPr>
        <w:t>)</w:t>
      </w:r>
      <w:r>
        <w:rPr>
          <w:color w:val="000000"/>
        </w:rPr>
        <w:tab/>
      </w:r>
      <w:r>
        <w:tab/>
      </w:r>
      <w:r>
        <w:tab/>
        <w:t>// ∂</w:t>
      </w:r>
      <w:r>
        <w:rPr>
          <w:rStyle w:val="subscript"/>
        </w:rPr>
        <w:t>a</w:t>
      </w:r>
      <w:r>
        <w:t xml:space="preserve"> = ∂/∂x</w:t>
      </w:r>
      <w:r>
        <w:rPr>
          <w:rStyle w:val="superscript"/>
        </w:rPr>
        <w:t>a</w:t>
      </w:r>
    </w:p>
    <w:p w14:paraId="524C82E8" w14:textId="77777777" w:rsidR="00801E4D" w:rsidRPr="00F134AE" w:rsidRDefault="00801E4D" w:rsidP="00801E4D">
      <w:pPr>
        <w:tabs>
          <w:tab w:val="left" w:pos="7200"/>
          <w:tab w:val="left" w:pos="7920"/>
          <w:tab w:val="right" w:pos="9270"/>
        </w:tabs>
      </w:pPr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r>
        <w:t xml:space="preserve"> =</w:t>
      </w:r>
      <w:r w:rsidRPr="00C42DAE">
        <w:t xml:space="preserve"> </w:t>
      </w:r>
      <w:r>
        <w:t>– R</w:t>
      </w:r>
      <w:r>
        <w:rPr>
          <w:rStyle w:val="subscript"/>
        </w:rPr>
        <w:t>b</w:t>
      </w:r>
      <w:r>
        <w:rPr>
          <w:rStyle w:val="superscript"/>
        </w:rPr>
        <w:t xml:space="preserve">i </w:t>
      </w:r>
      <w:r>
        <w:t>(</w:t>
      </w:r>
      <w:r w:rsidRPr="00220D9C">
        <w:rPr>
          <w:color w:val="000000"/>
        </w:rPr>
        <w:t>∂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i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(F.1.10)</w:t>
      </w:r>
    </w:p>
    <w:p w14:paraId="5C46D619" w14:textId="77777777" w:rsidR="00291390" w:rsidRDefault="00291390"/>
    <w:sectPr w:rsidR="00291390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F71C" w14:textId="77777777" w:rsidR="005B34AB" w:rsidRDefault="005B34AB">
      <w:r>
        <w:separator/>
      </w:r>
    </w:p>
  </w:endnote>
  <w:endnote w:type="continuationSeparator" w:id="0">
    <w:p w14:paraId="7ACFDA4E" w14:textId="77777777" w:rsidR="005B34AB" w:rsidRDefault="005B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CC012" w14:textId="77777777" w:rsidR="00385867" w:rsidRDefault="0038586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01E4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58643" w14:textId="77777777" w:rsidR="005B34AB" w:rsidRDefault="005B34AB">
      <w:r>
        <w:separator/>
      </w:r>
    </w:p>
  </w:footnote>
  <w:footnote w:type="continuationSeparator" w:id="0">
    <w:p w14:paraId="31595FFF" w14:textId="77777777" w:rsidR="005B34AB" w:rsidRDefault="005B3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1E4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34AB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3E4E"/>
    <w:rsid w:val="007C70C6"/>
    <w:rsid w:val="007E26A4"/>
    <w:rsid w:val="007E64D2"/>
    <w:rsid w:val="007E726A"/>
    <w:rsid w:val="00801E4D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A7D0D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E94401"/>
  <w15:chartTrackingRefBased/>
  <w15:docId w15:val="{D7B06F44-CE61-4D57-9537-28C344E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801E4D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1103</Words>
  <Characters>4788</Characters>
  <Application>Microsoft Office Word</Application>
  <DocSecurity>4</DocSecurity>
  <Lines>122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