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BB63B" w14:textId="77777777" w:rsidR="00291390" w:rsidRPr="00F815E9" w:rsidRDefault="00F815E9">
      <w:r>
        <w:t xml:space="preserve">I am removing my Note 2 on vector operators. Here was the text. Right now I cannot support this stuff because I cannot think of an operator off hand which is a function of x like the </w:t>
      </w:r>
      <w:r>
        <w:rPr>
          <w:b/>
        </w:rPr>
        <w:fldChar w:fldCharType="begin"/>
      </w:r>
      <w:r>
        <w:rPr>
          <w:b/>
        </w:rPr>
        <w:instrText xml:space="preserve"> EQ \O(</w:instrText>
      </w:r>
      <w:r w:rsidRPr="000F7729">
        <w:rPr>
          <w:b/>
        </w:rPr>
        <w:instrText>V</w:instrText>
      </w:r>
      <w:r>
        <w:rPr>
          <w:b/>
        </w:rPr>
        <w:instrText>,\S\up4(^))</w:instrText>
      </w:r>
      <w:r>
        <w:rPr>
          <w:b/>
        </w:rPr>
        <w:fldChar w:fldCharType="end"/>
      </w:r>
      <w:r>
        <w:t xml:space="preserve"> (</w:t>
      </w:r>
      <w:r w:rsidRPr="00F71255">
        <w:rPr>
          <w:b/>
        </w:rPr>
        <w:t>x</w:t>
      </w:r>
      <w:r>
        <w:t>) below. And this seems to conflict with the notion of kets |x&gt;, the whole thing is too tangential anyway, so out it goes at least until some rainy day when I can make it go.    11.6.11/</w:t>
      </w:r>
    </w:p>
    <w:p w14:paraId="476ACB00" w14:textId="77777777" w:rsidR="00F815E9" w:rsidRDefault="00F815E9"/>
    <w:p w14:paraId="66FAA979" w14:textId="77777777" w:rsidR="00F815E9" w:rsidRDefault="00F815E9" w:rsidP="00F815E9">
      <w:r w:rsidRPr="006B61A6">
        <w:rPr>
          <w:u w:val="single"/>
        </w:rPr>
        <w:t>Note 2</w:t>
      </w:r>
      <w:r>
        <w:t xml:space="preserve">:  If </w:t>
      </w:r>
      <w:r w:rsidRPr="00B620A4">
        <w:rPr>
          <w:b/>
        </w:rPr>
        <w:t>V</w:t>
      </w:r>
      <w:r>
        <w:t xml:space="preserve">(x) is a contravariant vector field </w:t>
      </w:r>
      <w:r w:rsidRPr="006B61A6">
        <w:rPr>
          <w:i/>
        </w:rPr>
        <w:t>operator</w:t>
      </w:r>
      <w:r>
        <w:t xml:space="preserve"> in a quantum mechanical (QM) Hilbert Space, and if F=R is a linear transformation, the transformation rule shown above still applies, but there is extra information to consider: </w:t>
      </w:r>
    </w:p>
    <w:p w14:paraId="39446511" w14:textId="77777777" w:rsidR="00F815E9" w:rsidRDefault="00F815E9" w:rsidP="00F815E9"/>
    <w:p w14:paraId="0FE61C6A" w14:textId="77777777" w:rsidR="00F815E9" w:rsidRPr="00E22B8F" w:rsidRDefault="00F815E9" w:rsidP="00F815E9">
      <w:pPr>
        <w:rPr>
          <w:rStyle w:val="superscript"/>
        </w:rPr>
      </w:pPr>
      <w:r>
        <w:tab/>
      </w:r>
      <w:r>
        <w:rPr>
          <w:b/>
        </w:rPr>
        <w:fldChar w:fldCharType="begin"/>
      </w:r>
      <w:r>
        <w:rPr>
          <w:b/>
        </w:rPr>
        <w:instrText xml:space="preserve"> EQ \O(</w:instrText>
      </w:r>
      <w:r w:rsidRPr="000F7729">
        <w:rPr>
          <w:b/>
        </w:rPr>
        <w:instrText>V</w:instrText>
      </w:r>
      <w:r>
        <w:rPr>
          <w:b/>
        </w:rPr>
        <w:instrText>,\S\up4(^))</w:instrText>
      </w:r>
      <w:r>
        <w:rPr>
          <w:b/>
        </w:rPr>
        <w:fldChar w:fldCharType="end"/>
      </w:r>
      <w:r>
        <w:t>'(</w:t>
      </w:r>
      <w:r w:rsidRPr="002A19F1">
        <w:rPr>
          <w:b/>
        </w:rPr>
        <w:t>x</w:t>
      </w:r>
      <w:r>
        <w:t xml:space="preserve">')  =   R </w:t>
      </w:r>
      <w:r>
        <w:rPr>
          <w:b/>
        </w:rPr>
        <w:fldChar w:fldCharType="begin"/>
      </w:r>
      <w:r>
        <w:rPr>
          <w:b/>
        </w:rPr>
        <w:instrText xml:space="preserve"> EQ \O(</w:instrText>
      </w:r>
      <w:r w:rsidRPr="000F7729">
        <w:rPr>
          <w:b/>
        </w:rPr>
        <w:instrText>V</w:instrText>
      </w:r>
      <w:r>
        <w:rPr>
          <w:b/>
        </w:rPr>
        <w:instrText>,\S\up4(^))</w:instrText>
      </w:r>
      <w:r>
        <w:rPr>
          <w:b/>
        </w:rPr>
        <w:fldChar w:fldCharType="end"/>
      </w:r>
      <w:r>
        <w:t xml:space="preserve"> (</w:t>
      </w:r>
      <w:r w:rsidRPr="00F71255">
        <w:rPr>
          <w:b/>
        </w:rPr>
        <w:t>x</w:t>
      </w:r>
      <w:r>
        <w:t xml:space="preserve">)  =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rsidRPr="00D078F9">
        <w:rPr>
          <w:rStyle w:val="superscript"/>
          <w:color w:val="000000"/>
        </w:rPr>
        <w:t>-1</w:t>
      </w:r>
      <w:r>
        <w:rPr>
          <w:b/>
        </w:rPr>
        <w:fldChar w:fldCharType="begin"/>
      </w:r>
      <w:r>
        <w:rPr>
          <w:b/>
        </w:rPr>
        <w:instrText xml:space="preserve"> EQ \O(</w:instrText>
      </w:r>
      <w:r w:rsidRPr="000F7729">
        <w:rPr>
          <w:b/>
        </w:rPr>
        <w:instrText>V</w:instrText>
      </w:r>
      <w:r>
        <w:rPr>
          <w:b/>
        </w:rPr>
        <w:instrText>,\S\up4(^))</w:instrText>
      </w:r>
      <w:r>
        <w:rPr>
          <w:b/>
        </w:rPr>
        <w:fldChar w:fldCharType="end"/>
      </w:r>
      <w:r>
        <w:rPr>
          <w:b/>
        </w:rPr>
        <w:t>(x)</w:t>
      </w:r>
      <w:r w:rsidRPr="00D078F9">
        <w:rPr>
          <w:color w:val="000000"/>
        </w:rPr>
        <w:t xml:space="preserve">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tab/>
      </w:r>
      <w:r>
        <w:tab/>
      </w:r>
      <w:r>
        <w:tab/>
      </w:r>
      <w:r>
        <w:rPr>
          <w:b/>
        </w:rPr>
        <w:t>x</w:t>
      </w:r>
      <w:r w:rsidRPr="005C5D34">
        <w:t>'</w:t>
      </w:r>
      <w:r>
        <w:t xml:space="preserve">  = R(</w:t>
      </w:r>
      <w:r w:rsidRPr="00D443C6">
        <w:rPr>
          <w:b/>
        </w:rPr>
        <w:t>x</w:t>
      </w:r>
      <w:r>
        <w:t xml:space="preserve">) </w:t>
      </w:r>
      <w:r>
        <w:rPr>
          <w:b/>
        </w:rPr>
        <w:t>x</w:t>
      </w:r>
    </w:p>
    <w:p w14:paraId="09DCBCD1" w14:textId="77777777" w:rsidR="00F815E9" w:rsidRDefault="00F815E9" w:rsidP="00F815E9"/>
    <w:p w14:paraId="74445B24" w14:textId="77777777" w:rsidR="00F815E9" w:rsidRDefault="00F815E9" w:rsidP="00F815E9">
      <w:r>
        <w:t xml:space="preserve">Here operators in the QM Hilbert Space are indicated by a hat. In this case, the vector field operator </w:t>
      </w:r>
      <w:r>
        <w:rPr>
          <w:b/>
        </w:rPr>
        <w:fldChar w:fldCharType="begin"/>
      </w:r>
      <w:r>
        <w:rPr>
          <w:b/>
        </w:rPr>
        <w:instrText xml:space="preserve"> EQ \O(</w:instrText>
      </w:r>
      <w:r w:rsidRPr="000F7729">
        <w:rPr>
          <w:b/>
        </w:rPr>
        <w:instrText>V</w:instrText>
      </w:r>
      <w:r>
        <w:rPr>
          <w:b/>
        </w:rPr>
        <w:instrText>,\S\up4(^))</w:instrText>
      </w:r>
      <w:r>
        <w:rPr>
          <w:b/>
        </w:rPr>
        <w:fldChar w:fldCharType="end"/>
      </w:r>
      <w:r>
        <w:rPr>
          <w:b/>
        </w:rPr>
        <w:t>(x)</w:t>
      </w:r>
      <w:r>
        <w:t xml:space="preserve"> is being transformed "forwards" into operator </w:t>
      </w:r>
      <w:r>
        <w:rPr>
          <w:b/>
        </w:rPr>
        <w:fldChar w:fldCharType="begin"/>
      </w:r>
      <w:r>
        <w:rPr>
          <w:b/>
        </w:rPr>
        <w:instrText xml:space="preserve"> EQ \O(</w:instrText>
      </w:r>
      <w:r w:rsidRPr="000F7729">
        <w:rPr>
          <w:b/>
        </w:rPr>
        <w:instrText>V</w:instrText>
      </w:r>
      <w:r>
        <w:rPr>
          <w:b/>
        </w:rPr>
        <w:instrText>,\S\up4(^))</w:instrText>
      </w:r>
      <w:r>
        <w:rPr>
          <w:b/>
        </w:rPr>
        <w:fldChar w:fldCharType="end"/>
      </w:r>
      <w:r>
        <w:t>'(</w:t>
      </w:r>
      <w:r w:rsidRPr="002A19F1">
        <w:rPr>
          <w:b/>
        </w:rPr>
        <w:t>x</w:t>
      </w:r>
      <w:r>
        <w:t xml:space="preserve">'). The QM Hilbert Space has vectors called kets written |α&gt; and one rotates one of these states foward by doing |α'&gt; =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t xml:space="preserve"> |α&gt;. The "diagonal matrix element" of a vector operator results in a normal vector. Consider these steps:  </w:t>
      </w:r>
    </w:p>
    <w:p w14:paraId="7D695D46" w14:textId="77777777" w:rsidR="00F815E9" w:rsidRDefault="00F815E9" w:rsidP="00F815E9"/>
    <w:p w14:paraId="4E2C4788" w14:textId="77777777" w:rsidR="00F815E9" w:rsidRDefault="00F815E9" w:rsidP="00F815E9">
      <w:r>
        <w:tab/>
      </w:r>
      <w:r>
        <w:rPr>
          <w:b/>
        </w:rPr>
        <w:t>V</w:t>
      </w:r>
      <w:r w:rsidRPr="00501A8B">
        <w:rPr>
          <w:b/>
        </w:rPr>
        <w:t>'</w:t>
      </w:r>
      <w:r>
        <w:t>(</w:t>
      </w:r>
      <w:r w:rsidRPr="004F45CD">
        <w:rPr>
          <w:b/>
        </w:rPr>
        <w:t>x</w:t>
      </w:r>
      <w:r>
        <w:t>')</w:t>
      </w:r>
      <w:r w:rsidRPr="00501A8B">
        <w:rPr>
          <w:b/>
        </w:rPr>
        <w:t xml:space="preserve"> </w:t>
      </w:r>
      <w:r>
        <w:t xml:space="preserve">= &lt;α' | </w:t>
      </w:r>
      <w:r>
        <w:rPr>
          <w:b/>
        </w:rPr>
        <w:fldChar w:fldCharType="begin"/>
      </w:r>
      <w:r>
        <w:rPr>
          <w:b/>
        </w:rPr>
        <w:instrText xml:space="preserve"> EQ \O(</w:instrText>
      </w:r>
      <w:r w:rsidRPr="000F7729">
        <w:rPr>
          <w:b/>
        </w:rPr>
        <w:instrText>V</w:instrText>
      </w:r>
      <w:r>
        <w:rPr>
          <w:b/>
        </w:rPr>
        <w:instrText>,\S\up4(^))</w:instrText>
      </w:r>
      <w:r>
        <w:rPr>
          <w:b/>
        </w:rPr>
        <w:fldChar w:fldCharType="end"/>
      </w:r>
      <w:r>
        <w:rPr>
          <w:b/>
        </w:rPr>
        <w:t>(x)</w:t>
      </w:r>
      <w:r>
        <w:t xml:space="preserve"> | α'&gt;    = &lt;α |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rPr>
          <w:rStyle w:val="superscript"/>
        </w:rPr>
        <w:t xml:space="preserve">-1  </w:t>
      </w:r>
      <w:r>
        <w:rPr>
          <w:b/>
        </w:rPr>
        <w:fldChar w:fldCharType="begin"/>
      </w:r>
      <w:r>
        <w:rPr>
          <w:b/>
        </w:rPr>
        <w:instrText xml:space="preserve"> EQ \O(</w:instrText>
      </w:r>
      <w:r w:rsidRPr="000F7729">
        <w:rPr>
          <w:b/>
        </w:rPr>
        <w:instrText>V</w:instrText>
      </w:r>
      <w:r>
        <w:rPr>
          <w:b/>
        </w:rPr>
        <w:instrText>,\S\up4(^))</w:instrText>
      </w:r>
      <w:r>
        <w:rPr>
          <w:b/>
        </w:rPr>
        <w:fldChar w:fldCharType="end"/>
      </w:r>
      <w:r>
        <w:rPr>
          <w:b/>
        </w:rPr>
        <w:t xml:space="preserve">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t xml:space="preserve"> | α&gt;  = &lt;α |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rPr>
          <w:rStyle w:val="superscript"/>
        </w:rPr>
        <w:t>-1</w:t>
      </w:r>
      <w:r>
        <w:rPr>
          <w:b/>
        </w:rPr>
        <w:fldChar w:fldCharType="begin"/>
      </w:r>
      <w:r>
        <w:rPr>
          <w:b/>
        </w:rPr>
        <w:instrText xml:space="preserve"> EQ \O(</w:instrText>
      </w:r>
      <w:r w:rsidRPr="000F7729">
        <w:rPr>
          <w:b/>
        </w:rPr>
        <w:instrText>V</w:instrText>
      </w:r>
      <w:r>
        <w:rPr>
          <w:b/>
        </w:rPr>
        <w:instrText>,\S\up4(^))</w:instrText>
      </w:r>
      <w:r>
        <w:rPr>
          <w:b/>
        </w:rPr>
        <w:fldChar w:fldCharType="end"/>
      </w:r>
      <w:r>
        <w:rPr>
          <w:b/>
        </w:rPr>
        <w:t xml:space="preserve">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t xml:space="preserve"> )  | α&gt; =  &lt;α |  </w:t>
      </w:r>
      <w:r>
        <w:rPr>
          <w:b/>
        </w:rPr>
        <w:fldChar w:fldCharType="begin"/>
      </w:r>
      <w:r>
        <w:rPr>
          <w:b/>
        </w:rPr>
        <w:instrText xml:space="preserve"> EQ \O(</w:instrText>
      </w:r>
      <w:r w:rsidRPr="000F7729">
        <w:rPr>
          <w:b/>
        </w:rPr>
        <w:instrText>V</w:instrText>
      </w:r>
      <w:r>
        <w:rPr>
          <w:b/>
        </w:rPr>
        <w:instrText>,\S\up4(^))</w:instrText>
      </w:r>
      <w:r>
        <w:rPr>
          <w:b/>
        </w:rPr>
        <w:fldChar w:fldCharType="end"/>
      </w:r>
      <w:r>
        <w:rPr>
          <w:b/>
        </w:rPr>
        <w:t>'</w:t>
      </w:r>
      <w:r>
        <w:t xml:space="preserve">  | α&gt;</w:t>
      </w:r>
    </w:p>
    <w:p w14:paraId="13C1050D" w14:textId="77777777" w:rsidR="00F815E9" w:rsidRDefault="00F815E9" w:rsidP="00F815E9">
      <w:r>
        <w:tab/>
      </w:r>
      <w:r>
        <w:tab/>
      </w:r>
    </w:p>
    <w:p w14:paraId="6EEB72A0" w14:textId="77777777" w:rsidR="00F815E9" w:rsidRDefault="00F815E9" w:rsidP="00F815E9">
      <w:r>
        <w:tab/>
      </w:r>
      <w:r>
        <w:tab/>
        <w:t xml:space="preserve">= &lt;α |   R </w:t>
      </w:r>
      <w:r>
        <w:rPr>
          <w:b/>
        </w:rPr>
        <w:fldChar w:fldCharType="begin"/>
      </w:r>
      <w:r>
        <w:rPr>
          <w:b/>
        </w:rPr>
        <w:instrText xml:space="preserve"> EQ \O(</w:instrText>
      </w:r>
      <w:r w:rsidRPr="000F7729">
        <w:rPr>
          <w:b/>
        </w:rPr>
        <w:instrText>V</w:instrText>
      </w:r>
      <w:r>
        <w:rPr>
          <w:b/>
        </w:rPr>
        <w:instrText>,\S\up4(^))</w:instrText>
      </w:r>
      <w:r>
        <w:rPr>
          <w:b/>
        </w:rPr>
        <w:fldChar w:fldCharType="end"/>
      </w:r>
      <w:r>
        <w:t xml:space="preserve"> (</w:t>
      </w:r>
      <w:r w:rsidRPr="00F71255">
        <w:rPr>
          <w:b/>
        </w:rPr>
        <w:t>x</w:t>
      </w:r>
      <w:r>
        <w:t xml:space="preserve">)  | α&gt; = R  &lt;α |   </w:t>
      </w:r>
      <w:r>
        <w:rPr>
          <w:b/>
        </w:rPr>
        <w:fldChar w:fldCharType="begin"/>
      </w:r>
      <w:r>
        <w:rPr>
          <w:b/>
        </w:rPr>
        <w:instrText xml:space="preserve"> EQ \O(</w:instrText>
      </w:r>
      <w:r w:rsidRPr="000F7729">
        <w:rPr>
          <w:b/>
        </w:rPr>
        <w:instrText>V</w:instrText>
      </w:r>
      <w:r>
        <w:rPr>
          <w:b/>
        </w:rPr>
        <w:instrText>,\S\up4(^))</w:instrText>
      </w:r>
      <w:r>
        <w:rPr>
          <w:b/>
        </w:rPr>
        <w:fldChar w:fldCharType="end"/>
      </w:r>
      <w:r>
        <w:t xml:space="preserve"> (</w:t>
      </w:r>
      <w:r w:rsidRPr="00F71255">
        <w:rPr>
          <w:b/>
        </w:rPr>
        <w:t>x</w:t>
      </w:r>
      <w:r>
        <w:t xml:space="preserve">)  | α&gt;  = R </w:t>
      </w:r>
      <w:r w:rsidRPr="002A5514">
        <w:rPr>
          <w:b/>
        </w:rPr>
        <w:t>V</w:t>
      </w:r>
    </w:p>
    <w:p w14:paraId="59995916" w14:textId="77777777" w:rsidR="00F815E9" w:rsidRDefault="00F815E9" w:rsidP="00F815E9"/>
    <w:p w14:paraId="6AFB8FA9" w14:textId="77777777" w:rsidR="00F815E9" w:rsidRPr="004F45CD" w:rsidRDefault="00F815E9" w:rsidP="00F815E9">
      <w:r>
        <w:t xml:space="preserve">This shows that, given the vector operator transformation rule claimed above, then </w:t>
      </w:r>
      <w:r>
        <w:rPr>
          <w:b/>
        </w:rPr>
        <w:t>V</w:t>
      </w:r>
      <w:r w:rsidRPr="00501A8B">
        <w:rPr>
          <w:b/>
        </w:rPr>
        <w:t>'</w:t>
      </w:r>
      <w:r>
        <w:t xml:space="preserve">  = R</w:t>
      </w:r>
      <w:r w:rsidRPr="004F45CD">
        <w:rPr>
          <w:b/>
        </w:rPr>
        <w:t xml:space="preserve"> </w:t>
      </w:r>
      <w:r w:rsidRPr="002A5514">
        <w:rPr>
          <w:b/>
        </w:rPr>
        <w:t>V</w:t>
      </w:r>
    </w:p>
    <w:p w14:paraId="4FC32B19" w14:textId="77777777" w:rsidR="00F815E9" w:rsidRDefault="00F815E9" w:rsidP="00F815E9"/>
    <w:p w14:paraId="0D593CB8" w14:textId="77777777" w:rsidR="00F815E9" w:rsidRPr="002A5514" w:rsidRDefault="00F815E9" w:rsidP="00F815E9"/>
    <w:p w14:paraId="337B2221" w14:textId="77777777" w:rsidR="00F815E9" w:rsidRPr="002A5514" w:rsidRDefault="00F815E9" w:rsidP="00F815E9"/>
    <w:p w14:paraId="15D92A2D" w14:textId="77777777" w:rsidR="00F815E9" w:rsidRDefault="00F815E9" w:rsidP="00F815E9"/>
    <w:p w14:paraId="4733C030" w14:textId="77777777" w:rsidR="00F815E9" w:rsidRDefault="00F815E9" w:rsidP="00F815E9"/>
    <w:p w14:paraId="2760C1FD" w14:textId="77777777" w:rsidR="00F815E9" w:rsidRDefault="00F815E9" w:rsidP="00F815E9"/>
    <w:p w14:paraId="45FEC480" w14:textId="77777777" w:rsidR="00F815E9" w:rsidRPr="00EA5B8B" w:rsidRDefault="00F815E9" w:rsidP="00F815E9">
      <w:r>
        <w:t xml:space="preserve">R is our same matrix R = F, whereas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t xml:space="preserve"> acts on QM Hilbert Space basis vectors such as &lt;α|</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rPr>
          <w:rStyle w:val="superscript"/>
        </w:rPr>
        <w:t>-1</w:t>
      </w:r>
      <w:r>
        <w:t xml:space="preserve"> = &lt;α'|.  Consider an arbitrary Hilbert Space "matrix element" of the above operator equation, </w:t>
      </w:r>
    </w:p>
    <w:p w14:paraId="59C5482D" w14:textId="77777777" w:rsidR="00F815E9" w:rsidRDefault="00F815E9" w:rsidP="00F815E9"/>
    <w:p w14:paraId="006ED2D9" w14:textId="77777777" w:rsidR="00F815E9" w:rsidRDefault="00F815E9" w:rsidP="00F815E9">
      <w:r>
        <w:tab/>
        <w:t xml:space="preserve">&lt;α | </w:t>
      </w:r>
      <w:r>
        <w:rPr>
          <w:b/>
        </w:rPr>
        <w:fldChar w:fldCharType="begin"/>
      </w:r>
      <w:r>
        <w:rPr>
          <w:b/>
        </w:rPr>
        <w:instrText xml:space="preserve"> EQ \O(</w:instrText>
      </w:r>
      <w:r w:rsidRPr="000F7729">
        <w:rPr>
          <w:b/>
        </w:rPr>
        <w:instrText>V</w:instrText>
      </w:r>
      <w:r>
        <w:rPr>
          <w:b/>
        </w:rPr>
        <w:instrText>,\S\up4(^))</w:instrText>
      </w:r>
      <w:r>
        <w:rPr>
          <w:b/>
        </w:rPr>
        <w:fldChar w:fldCharType="end"/>
      </w:r>
      <w:r>
        <w:t>'(</w:t>
      </w:r>
      <w:r w:rsidRPr="002A19F1">
        <w:rPr>
          <w:b/>
        </w:rPr>
        <w:t>x</w:t>
      </w:r>
      <w:r>
        <w:t xml:space="preserve">') |β&gt; = R &lt;α | </w:t>
      </w:r>
      <w:r>
        <w:rPr>
          <w:b/>
        </w:rPr>
        <w:fldChar w:fldCharType="begin"/>
      </w:r>
      <w:r>
        <w:rPr>
          <w:b/>
        </w:rPr>
        <w:instrText xml:space="preserve"> EQ \O(</w:instrText>
      </w:r>
      <w:r w:rsidRPr="000F7729">
        <w:rPr>
          <w:b/>
        </w:rPr>
        <w:instrText>V</w:instrText>
      </w:r>
      <w:r>
        <w:rPr>
          <w:b/>
        </w:rPr>
        <w:instrText>,\S\up4(^))</w:instrText>
      </w:r>
      <w:r>
        <w:rPr>
          <w:b/>
        </w:rPr>
        <w:fldChar w:fldCharType="end"/>
      </w:r>
      <w:r>
        <w:t>(</w:t>
      </w:r>
      <w:r w:rsidRPr="00F71255">
        <w:rPr>
          <w:b/>
        </w:rPr>
        <w:t>x</w:t>
      </w:r>
      <w:r>
        <w:t>) |β&gt;  = &lt;α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rsidRPr="00D078F9">
        <w:rPr>
          <w:rStyle w:val="superscript"/>
          <w:color w:val="000000"/>
        </w:rPr>
        <w:t>-1</w:t>
      </w:r>
      <w:r>
        <w:rPr>
          <w:b/>
        </w:rPr>
        <w:fldChar w:fldCharType="begin"/>
      </w:r>
      <w:r>
        <w:rPr>
          <w:b/>
        </w:rPr>
        <w:instrText xml:space="preserve"> EQ \O(</w:instrText>
      </w:r>
      <w:r w:rsidRPr="000F7729">
        <w:rPr>
          <w:b/>
        </w:rPr>
        <w:instrText>V</w:instrText>
      </w:r>
      <w:r>
        <w:rPr>
          <w:b/>
        </w:rPr>
        <w:instrText>,\S\up4(^))</w:instrText>
      </w:r>
      <w:r>
        <w:rPr>
          <w:b/>
        </w:rPr>
        <w:fldChar w:fldCharType="end"/>
      </w:r>
      <w:r>
        <w:rPr>
          <w:b/>
        </w:rPr>
        <w:t>(x)</w:t>
      </w:r>
      <w:r w:rsidRPr="00D078F9">
        <w:rPr>
          <w:color w:val="000000"/>
        </w:rPr>
        <w:t xml:space="preserve">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t xml:space="preserve"> |β&gt;  = &lt;α' |</w:t>
      </w:r>
      <w:r>
        <w:rPr>
          <w:b/>
        </w:rPr>
        <w:fldChar w:fldCharType="begin"/>
      </w:r>
      <w:r>
        <w:rPr>
          <w:b/>
        </w:rPr>
        <w:instrText xml:space="preserve"> EQ \O(</w:instrText>
      </w:r>
      <w:r w:rsidRPr="000F7729">
        <w:rPr>
          <w:b/>
        </w:rPr>
        <w:instrText>V</w:instrText>
      </w:r>
      <w:r>
        <w:rPr>
          <w:b/>
        </w:rPr>
        <w:instrText>,\S\up4(^))</w:instrText>
      </w:r>
      <w:r>
        <w:rPr>
          <w:b/>
        </w:rPr>
        <w:fldChar w:fldCharType="end"/>
      </w:r>
      <w:r>
        <w:rPr>
          <w:b/>
        </w:rPr>
        <w:t>(x)</w:t>
      </w:r>
      <w:r w:rsidRPr="00D078F9">
        <w:rPr>
          <w:color w:val="000000"/>
        </w:rPr>
        <w:t xml:space="preserve"> </w:t>
      </w:r>
      <w:r>
        <w:t>|β'&gt;</w:t>
      </w:r>
    </w:p>
    <w:p w14:paraId="369B82E8" w14:textId="77777777" w:rsidR="00F815E9" w:rsidRDefault="00F815E9" w:rsidP="00F815E9"/>
    <w:p w14:paraId="06F9E157" w14:textId="77777777" w:rsidR="00F815E9" w:rsidRDefault="00F815E9" w:rsidP="00F815E9">
      <w:r>
        <w:t xml:space="preserve">Comparing the left end to the right end one sees that the action of transforming an operator forwards is equivalent to the action of transforming the basis vectors backwards. This is analogous to the fact that rotating a vector in 3D space backward and staying in the same frame of reference gives the same vector components as keeping with the original vector in space and rotating the frame of reference forwards. </w:t>
      </w:r>
    </w:p>
    <w:p w14:paraId="3B468A7E" w14:textId="77777777" w:rsidR="00F815E9" w:rsidRDefault="00F815E9" w:rsidP="00F815E9"/>
    <w:p w14:paraId="1C3BCCFB" w14:textId="77777777" w:rsidR="00F815E9" w:rsidRDefault="00F815E9" w:rsidP="00F815E9"/>
    <w:p w14:paraId="3D337E6B" w14:textId="77777777" w:rsidR="00F815E9" w:rsidRPr="005E311E" w:rsidRDefault="00F815E9" w:rsidP="00F815E9">
      <w:r>
        <w:tab/>
        <w:t>Notice that there are two Hilbert Spaces floating around here: one is R</w:t>
      </w:r>
      <w:r>
        <w:rPr>
          <w:rStyle w:val="superscript"/>
        </w:rPr>
        <w:t>N</w:t>
      </w:r>
      <w:r>
        <w:t xml:space="preserve"> with vectors </w:t>
      </w:r>
      <w:r w:rsidRPr="00543831">
        <w:rPr>
          <w:b/>
        </w:rPr>
        <w:t>x</w:t>
      </w:r>
      <w:r>
        <w:t xml:space="preserve">, the other is the QM space with vectors |β&gt;. Another subtle point is that the operator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t xml:space="preserve"> is unitary with respect to the properly normalized infinite-dimensional QM Hilbert Space, meaning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rPr>
          <w:rStyle w:val="superscript"/>
        </w:rPr>
        <w:t>-1</w:t>
      </w:r>
      <w:r>
        <w:t xml:space="preserve"> = </w:t>
      </w:r>
      <w:r>
        <w:rPr>
          <w:color w:val="000000"/>
        </w:rPr>
        <w:fldChar w:fldCharType="begin"/>
      </w:r>
      <w:r>
        <w:rPr>
          <w:color w:val="000000"/>
        </w:rPr>
        <w:instrText xml:space="preserve"> EQ \O(</w:instrText>
      </w:r>
      <w:r w:rsidRPr="00D078F9">
        <w:rPr>
          <w:color w:val="000000"/>
        </w:rPr>
        <w:instrText>R</w:instrText>
      </w:r>
      <w:r>
        <w:rPr>
          <w:color w:val="000000"/>
        </w:rPr>
        <w:instrText>,\S\up4(^))</w:instrText>
      </w:r>
      <w:r>
        <w:rPr>
          <w:color w:val="000000"/>
        </w:rPr>
        <w:fldChar w:fldCharType="end"/>
      </w:r>
      <w:r>
        <w:rPr>
          <w:rStyle w:val="superscript"/>
        </w:rPr>
        <w:t>†</w:t>
      </w:r>
      <w:r>
        <w:t xml:space="preserve"> , whereas the NxN matrix </w:t>
      </w:r>
      <w:r>
        <w:lastRenderedPageBreak/>
        <w:t>R may be non-unitary with respect to R</w:t>
      </w:r>
      <w:r>
        <w:rPr>
          <w:rStyle w:val="superscript"/>
        </w:rPr>
        <w:t>N</w:t>
      </w:r>
      <w:r>
        <w:t>. For example, in special relativity a boost matrix has the property R</w:t>
      </w:r>
      <w:r>
        <w:rPr>
          <w:rStyle w:val="superscript"/>
        </w:rPr>
        <w:t>†</w:t>
      </w:r>
      <w:r>
        <w:t xml:space="preserve"> = R</w:t>
      </w:r>
      <w:r>
        <w:rPr>
          <w:rStyle w:val="superscript"/>
        </w:rPr>
        <w:t>T</w:t>
      </w:r>
      <w:r>
        <w:t xml:space="preserve"> = R ≠ R</w:t>
      </w:r>
      <w:r>
        <w:rPr>
          <w:rStyle w:val="superscript"/>
        </w:rPr>
        <w:t>-1</w:t>
      </w:r>
      <w:r>
        <w:t xml:space="preserve">, as shown in Section 5 (m). </w:t>
      </w:r>
    </w:p>
    <w:p w14:paraId="7B85A26A" w14:textId="77777777" w:rsidR="00F815E9" w:rsidRPr="00F815E9" w:rsidRDefault="00F815E9"/>
    <w:p w14:paraId="50B4AAA7"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FAFF0" w14:textId="77777777" w:rsidR="006D2863" w:rsidRDefault="006D2863">
      <w:r>
        <w:separator/>
      </w:r>
    </w:p>
  </w:endnote>
  <w:endnote w:type="continuationSeparator" w:id="0">
    <w:p w14:paraId="4961AE6D" w14:textId="77777777" w:rsidR="006D2863" w:rsidRDefault="006D2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4209" w14:textId="77777777" w:rsidR="00DC3201" w:rsidRDefault="00DC32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15E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13C2E" w14:textId="77777777" w:rsidR="006D2863" w:rsidRDefault="006D2863">
      <w:r>
        <w:separator/>
      </w:r>
    </w:p>
  </w:footnote>
  <w:footnote w:type="continuationSeparator" w:id="0">
    <w:p w14:paraId="72A418F9" w14:textId="77777777" w:rsidR="006D2863" w:rsidRDefault="006D28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15E9"/>
    <w:rsid w:val="000014B7"/>
    <w:rsid w:val="0001344C"/>
    <w:rsid w:val="00032790"/>
    <w:rsid w:val="00054B07"/>
    <w:rsid w:val="000A162F"/>
    <w:rsid w:val="000A6BDE"/>
    <w:rsid w:val="000D2080"/>
    <w:rsid w:val="000F7B78"/>
    <w:rsid w:val="00130273"/>
    <w:rsid w:val="001677E9"/>
    <w:rsid w:val="00186EA4"/>
    <w:rsid w:val="00190B89"/>
    <w:rsid w:val="001A1EFA"/>
    <w:rsid w:val="0020790D"/>
    <w:rsid w:val="00216309"/>
    <w:rsid w:val="00227FEA"/>
    <w:rsid w:val="00252488"/>
    <w:rsid w:val="00265985"/>
    <w:rsid w:val="00283691"/>
    <w:rsid w:val="00291390"/>
    <w:rsid w:val="002A48AF"/>
    <w:rsid w:val="002D4894"/>
    <w:rsid w:val="002F271F"/>
    <w:rsid w:val="0030350C"/>
    <w:rsid w:val="00330E53"/>
    <w:rsid w:val="00351EE4"/>
    <w:rsid w:val="00354B37"/>
    <w:rsid w:val="00387D22"/>
    <w:rsid w:val="003A49F1"/>
    <w:rsid w:val="003A4E73"/>
    <w:rsid w:val="003B7107"/>
    <w:rsid w:val="0046473F"/>
    <w:rsid w:val="00491B69"/>
    <w:rsid w:val="004A5033"/>
    <w:rsid w:val="00511127"/>
    <w:rsid w:val="005276A3"/>
    <w:rsid w:val="005A2484"/>
    <w:rsid w:val="005C0914"/>
    <w:rsid w:val="005F0E1C"/>
    <w:rsid w:val="00643A57"/>
    <w:rsid w:val="0064710F"/>
    <w:rsid w:val="00674188"/>
    <w:rsid w:val="006823E5"/>
    <w:rsid w:val="006B7AA1"/>
    <w:rsid w:val="006C3D2C"/>
    <w:rsid w:val="006D2437"/>
    <w:rsid w:val="006D2863"/>
    <w:rsid w:val="006D4393"/>
    <w:rsid w:val="00720868"/>
    <w:rsid w:val="00736D31"/>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A2578F"/>
    <w:rsid w:val="00A37B8D"/>
    <w:rsid w:val="00A54EC3"/>
    <w:rsid w:val="00A64971"/>
    <w:rsid w:val="00A711B1"/>
    <w:rsid w:val="00AD40B5"/>
    <w:rsid w:val="00AE788B"/>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815E9"/>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4037D"/>
  <w15:chartTrackingRefBased/>
  <w15:docId w15:val="{83E8D3F8-4C07-4739-9744-D7045267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2469</Characters>
  <Application>Microsoft Office Word</Application>
  <DocSecurity>4</DocSecurity>
  <Lines>56</Lines>
  <Paragraphs>17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2026-09-06T19:12:00Z</dcterms:created>
  <dcterms:modified xsi:type="dcterms:W3CDTF">2026-09-06T19:12:00Z</dcterms:modified>
</cp:coreProperties>
</file>