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4DD37" w14:textId="77777777" w:rsidR="00291390" w:rsidRDefault="00D709B2">
      <w:pPr>
        <w:tabs>
          <w:tab w:val="right" w:pos="9270"/>
        </w:tabs>
      </w:pPr>
      <w:r>
        <w:rPr>
          <w:b/>
        </w:rPr>
        <w:t>Meta Notes on Tensor Products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71283F">
        <w:t>1.1</w:t>
      </w:r>
      <w:r>
        <w:t>9</w:t>
      </w:r>
      <w:r w:rsidR="0071283F">
        <w:t>.15</w:t>
      </w:r>
    </w:p>
    <w:p w14:paraId="38676F2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31F3142" w14:textId="77777777" w:rsidR="00291390" w:rsidRDefault="00D709B2">
      <w:r>
        <w:t xml:space="preserve">First of all, I think my tensor doc makes use of the outer product, which is a special case of a tensor product. I think the term direct product there is incorrect, but people do use it. I review the tensor doc sections on such products in the raw notes. </w:t>
      </w:r>
    </w:p>
    <w:p w14:paraId="0EB19CE0" w14:textId="77777777" w:rsidR="00D709B2" w:rsidRDefault="00D709B2"/>
    <w:p w14:paraId="4EDC066E" w14:textId="77777777" w:rsidR="00D709B2" w:rsidRDefault="00D709B2">
      <w:r>
        <w:t xml:space="preserve"> There seem to be two major theoretical approaches to the Tensor Product. </w:t>
      </w:r>
    </w:p>
    <w:p w14:paraId="69EF879E" w14:textId="77777777" w:rsidR="00D709B2" w:rsidRDefault="00D709B2"/>
    <w:p w14:paraId="2532BA8D" w14:textId="77777777" w:rsidR="00D709B2" w:rsidRDefault="00D709B2">
      <w:r>
        <w:t>1. The first approach starts with a free vector space, defines bilinear-like equivalence classes, and then concludes that V</w:t>
      </w:r>
      <w:r>
        <w:sym w:font="Symbol" w:char="F0C4"/>
      </w:r>
      <w:r>
        <w:t>W= F(</w:t>
      </w:r>
      <w:proofErr w:type="spellStart"/>
      <w:r>
        <w:t>VxW</w:t>
      </w:r>
      <w:proofErr w:type="spellEnd"/>
      <w:r>
        <w:t xml:space="preserve">)/N where F is the free vector space defined over the Cartesian product </w:t>
      </w:r>
      <w:proofErr w:type="spellStart"/>
      <w:r>
        <w:t>Vx</w:t>
      </w:r>
      <w:proofErr w:type="spellEnd"/>
      <w:r>
        <w:t xml:space="preserve"> W, and N is the subspace of elements in F(</w:t>
      </w:r>
      <w:proofErr w:type="spellStart"/>
      <w:r>
        <w:t>VxW</w:t>
      </w:r>
      <w:proofErr w:type="spellEnd"/>
      <w:r>
        <w:t xml:space="preserve">) which are declared equivalent to 0. This basically has the effect of imposing what I call the bilinearity relations on the </w:t>
      </w:r>
      <w:r>
        <w:sym w:font="Symbol" w:char="F0C4"/>
      </w:r>
      <w:r>
        <w:t xml:space="preserve"> operator. </w:t>
      </w:r>
    </w:p>
    <w:p w14:paraId="262B7A42" w14:textId="77777777" w:rsidR="00D709B2" w:rsidRDefault="00D709B2"/>
    <w:p w14:paraId="6CFDF0F1" w14:textId="77777777" w:rsidR="00D709B2" w:rsidRDefault="00D709B2">
      <w:r>
        <w:t xml:space="preserve">2. The second approach starts off with bilinear functions in a category triangle diagram, </w:t>
      </w:r>
    </w:p>
    <w:p w14:paraId="65114BE1" w14:textId="77777777" w:rsidR="00D709B2" w:rsidRDefault="00D709B2"/>
    <w:p w14:paraId="6398DA2B" w14:textId="77777777" w:rsidR="00D709B2" w:rsidRDefault="00D709B2">
      <w:r>
        <w:tab/>
      </w:r>
      <w:r>
        <w:tab/>
      </w:r>
      <w:r>
        <w:tab/>
      </w:r>
      <w:r>
        <w:tab/>
      </w:r>
      <w:r>
        <w:pict w14:anchorId="6DDACF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5pt;height:92.25pt">
            <v:imagedata r:id="rId6" o:title=""/>
          </v:shape>
        </w:pict>
      </w:r>
    </w:p>
    <w:p w14:paraId="79F67EE1" w14:textId="77777777" w:rsidR="00D709B2" w:rsidRDefault="00D709B2"/>
    <w:p w14:paraId="006E8716" w14:textId="77777777" w:rsidR="00D709B2" w:rsidRDefault="00D709B2">
      <w:r>
        <w:t>Since a unique and linear τ can be constructed to satisfy the triangle (that is, to make it "commute"), the pair (</w:t>
      </w:r>
      <w:proofErr w:type="spellStart"/>
      <w:r>
        <w:t>T,t</w:t>
      </w:r>
      <w:proofErr w:type="spellEnd"/>
      <w:r>
        <w:t>) is a universal pair, and then by definition the space T is the tensor product space T = U</w:t>
      </w:r>
      <w:r>
        <w:sym w:font="Symbol" w:char="F0C4"/>
      </w:r>
      <w:r>
        <w:t>V. This approach emphasizes that the tensor product is a more or less unique construct, up to isomorphism via the linear function τ. One has</w:t>
      </w:r>
    </w:p>
    <w:p w14:paraId="2B410885" w14:textId="77777777" w:rsidR="00D709B2" w:rsidRDefault="00D709B2"/>
    <w:p w14:paraId="78F0B2A0" w14:textId="77777777" w:rsidR="00D709B2" w:rsidRDefault="00D709B2">
      <w:r>
        <w:tab/>
        <w:t xml:space="preserve">t : </w:t>
      </w:r>
      <w:proofErr w:type="spellStart"/>
      <w:r>
        <w:t>UxV</w:t>
      </w:r>
      <w:proofErr w:type="spellEnd"/>
      <w:r>
        <w:t xml:space="preserve"> → U</w:t>
      </w:r>
      <w:r>
        <w:sym w:font="Symbol" w:char="F0C4"/>
      </w:r>
      <w:r>
        <w:t>V</w:t>
      </w:r>
      <w:r>
        <w:tab/>
        <w:t>so</w:t>
      </w:r>
      <w:r>
        <w:tab/>
        <w:t>t(</w:t>
      </w:r>
      <w:proofErr w:type="spellStart"/>
      <w:r>
        <w:t>u,v</w:t>
      </w:r>
      <w:proofErr w:type="spellEnd"/>
      <w:r>
        <w:t>) → u</w:t>
      </w:r>
      <w:r>
        <w:sym w:font="Symbol" w:char="F0C4"/>
      </w:r>
      <w:r>
        <w:t>v</w:t>
      </w:r>
    </w:p>
    <w:p w14:paraId="4501A770" w14:textId="77777777" w:rsidR="00D709B2" w:rsidRDefault="00D709B2"/>
    <w:p w14:paraId="6B8146EE" w14:textId="77777777" w:rsidR="00D709B2" w:rsidRDefault="00D709B2">
      <w:r>
        <w:t>The bilinearity rules then just move from function t to the tensor product u</w:t>
      </w:r>
      <w:r>
        <w:sym w:font="Symbol" w:char="F0C4"/>
      </w:r>
      <w:r>
        <w:t>v. For example</w:t>
      </w:r>
    </w:p>
    <w:p w14:paraId="598B1118" w14:textId="77777777" w:rsidR="00D709B2" w:rsidRDefault="00D709B2"/>
    <w:p w14:paraId="471BB0A4" w14:textId="77777777" w:rsidR="00D709B2" w:rsidRDefault="00D709B2">
      <w:r>
        <w:tab/>
        <w:t>t(</w:t>
      </w:r>
      <w:proofErr w:type="spellStart"/>
      <w:r>
        <w:t>αu+βu',v</w:t>
      </w:r>
      <w:proofErr w:type="spellEnd"/>
      <w:r>
        <w:t>) = α t(</w:t>
      </w:r>
      <w:proofErr w:type="spellStart"/>
      <w:r>
        <w:t>u,v</w:t>
      </w:r>
      <w:proofErr w:type="spellEnd"/>
      <w:r>
        <w:t xml:space="preserve">) + </w:t>
      </w:r>
      <w:proofErr w:type="spellStart"/>
      <w:r>
        <w:t>βt</w:t>
      </w:r>
      <w:proofErr w:type="spellEnd"/>
      <w:r>
        <w:t>(</w:t>
      </w:r>
      <w:proofErr w:type="spellStart"/>
      <w:r>
        <w:t>u',v</w:t>
      </w:r>
      <w:proofErr w:type="spellEnd"/>
      <w:r>
        <w:t xml:space="preserve">) </w:t>
      </w:r>
      <w:r>
        <w:tab/>
      </w:r>
    </w:p>
    <w:p w14:paraId="0C546523" w14:textId="77777777" w:rsidR="00D709B2" w:rsidRDefault="00D709B2"/>
    <w:p w14:paraId="1CB8B63A" w14:textId="77777777" w:rsidR="00D709B2" w:rsidRDefault="00D709B2">
      <w:r>
        <w:t>maps into</w:t>
      </w:r>
    </w:p>
    <w:p w14:paraId="75337F9F" w14:textId="77777777" w:rsidR="00D709B2" w:rsidRDefault="00D709B2"/>
    <w:p w14:paraId="53B3EB93" w14:textId="77777777" w:rsidR="00D709B2" w:rsidRDefault="00D709B2">
      <w:r>
        <w:tab/>
        <w:t>(</w:t>
      </w:r>
      <w:proofErr w:type="spellStart"/>
      <w:r>
        <w:t>αu</w:t>
      </w:r>
      <w:proofErr w:type="spellEnd"/>
      <w:r>
        <w:t xml:space="preserve"> + </w:t>
      </w:r>
      <w:proofErr w:type="spellStart"/>
      <w:r>
        <w:t>βu</w:t>
      </w:r>
      <w:proofErr w:type="spellEnd"/>
      <w:r>
        <w:t>')</w:t>
      </w:r>
      <w:r>
        <w:sym w:font="Symbol" w:char="F0C4"/>
      </w:r>
      <w:r>
        <w:t>v  = α u</w:t>
      </w:r>
      <w:r>
        <w:sym w:font="Symbol" w:char="F0C4"/>
      </w:r>
      <w:r>
        <w:t>v + β u'</w:t>
      </w:r>
      <w:r>
        <w:sym w:font="Symbol" w:char="F0C4"/>
      </w:r>
      <w:r>
        <w:t>v</w:t>
      </w:r>
    </w:p>
    <w:p w14:paraId="38614723" w14:textId="77777777" w:rsidR="00D709B2" w:rsidRDefault="00D709B2"/>
    <w:p w14:paraId="06F2D04D" w14:textId="77777777" w:rsidR="00D709B2" w:rsidRDefault="00D709B2">
      <w:r>
        <w:t xml:space="preserve">3. Both approaches arrive at the same notion of a tensor product. The main aspects are bilinearity and uniqueness of the tensor product. </w:t>
      </w:r>
    </w:p>
    <w:p w14:paraId="2C2DD17F" w14:textId="77777777" w:rsidR="00D709B2" w:rsidRDefault="00D709B2"/>
    <w:p w14:paraId="74CABF76" w14:textId="77777777" w:rsidR="00D709B2" w:rsidRDefault="00D709B2">
      <w:r>
        <w:t>4. One can generalize to a tensor product A</w:t>
      </w:r>
      <w:r>
        <w:sym w:font="Symbol" w:char="F0C4"/>
      </w:r>
      <w:r>
        <w:t>B</w:t>
      </w:r>
      <w:r>
        <w:sym w:font="Symbol" w:char="F0C4"/>
      </w:r>
      <w:r>
        <w:t xml:space="preserve">C..... . In this case, the triangle diagram has at its left vertex A x B x C.... . The bilinearity rules become multilinearity rules. </w:t>
      </w:r>
    </w:p>
    <w:p w14:paraId="21201944" w14:textId="77777777" w:rsidR="00D709B2" w:rsidRDefault="00D709B2"/>
    <w:p w14:paraId="677601DE" w14:textId="77777777" w:rsidR="00D709B2" w:rsidRDefault="00D709B2">
      <w:r>
        <w:t xml:space="preserve">5. The </w:t>
      </w:r>
      <w:r w:rsidRPr="00D709B2">
        <w:rPr>
          <w:b/>
        </w:rPr>
        <w:t>outer product</w:t>
      </w:r>
      <w:r>
        <w:t xml:space="preserve"> is a tensor product in which an extra ingredient is added, resulting in no conflict with the tensor product structure as outlined above. One writes for example, </w:t>
      </w:r>
    </w:p>
    <w:p w14:paraId="35329C62" w14:textId="77777777" w:rsidR="00D709B2" w:rsidRDefault="00D709B2"/>
    <w:p w14:paraId="71A6234E" w14:textId="77777777" w:rsidR="00D709B2" w:rsidRDefault="00D709B2" w:rsidP="00D709B2">
      <w:r>
        <w:tab/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sym w:font="Symbol" w:char="F0C4"/>
      </w:r>
      <w:r>
        <w:rPr>
          <w:b/>
        </w:rPr>
        <w:t>C ...</w:t>
      </w:r>
      <w:r>
        <w:t>)</w:t>
      </w:r>
      <w:proofErr w:type="spellStart"/>
      <w:r w:rsidRPr="005638FE">
        <w:rPr>
          <w:rStyle w:val="superscript"/>
        </w:rPr>
        <w:t>abc</w:t>
      </w:r>
      <w:proofErr w:type="spellEnd"/>
      <w:r w:rsidRPr="005638FE">
        <w:rPr>
          <w:rStyle w:val="superscript"/>
        </w:rPr>
        <w:t>...</w:t>
      </w:r>
      <w:r>
        <w:t xml:space="preserve">  ≡  </w:t>
      </w:r>
      <w:proofErr w:type="spellStart"/>
      <w:r>
        <w:t>A</w:t>
      </w:r>
      <w:r w:rsidRPr="005638FE">
        <w:rPr>
          <w:rStyle w:val="superscript"/>
        </w:rPr>
        <w:t>a</w:t>
      </w:r>
      <w:r>
        <w:t>B</w:t>
      </w:r>
      <w:r w:rsidRPr="005638FE">
        <w:rPr>
          <w:rStyle w:val="superscript"/>
        </w:rPr>
        <w:t>b</w:t>
      </w:r>
      <w:r>
        <w:t>C</w:t>
      </w:r>
      <w:r w:rsidRPr="005638FE">
        <w:rPr>
          <w:rStyle w:val="superscript"/>
        </w:rPr>
        <w:t>c</w:t>
      </w:r>
      <w:proofErr w:type="spellEnd"/>
      <w:r>
        <w:t>.....</w:t>
      </w:r>
    </w:p>
    <w:p w14:paraId="0DA56106" w14:textId="77777777" w:rsidR="00D709B2" w:rsidRDefault="00D709B2"/>
    <w:p w14:paraId="1C87D60F" w14:textId="77777777" w:rsidR="00D709B2" w:rsidRDefault="00D709B2">
      <w:pPr>
        <w:rPr>
          <w:rStyle w:val="subscript"/>
        </w:rPr>
      </w:pPr>
      <w:r>
        <w:tab/>
        <w:t>(M</w:t>
      </w:r>
      <w:r>
        <w:sym w:font="Symbol" w:char="F0C4"/>
      </w:r>
      <w:r>
        <w:rPr>
          <w:b/>
        </w:rPr>
        <w:t>N)</w:t>
      </w:r>
      <w:proofErr w:type="spellStart"/>
      <w:r>
        <w:rPr>
          <w:rStyle w:val="subscript"/>
        </w:rPr>
        <w:t>ab,AB</w:t>
      </w:r>
      <w:proofErr w:type="spellEnd"/>
      <w:r>
        <w:t xml:space="preserve"> ≡ </w:t>
      </w:r>
      <w:proofErr w:type="spellStart"/>
      <w:r>
        <w:t>M</w:t>
      </w:r>
      <w:r>
        <w:rPr>
          <w:rStyle w:val="subscript"/>
        </w:rPr>
        <w:t>aA</w:t>
      </w:r>
      <w:r>
        <w:t>N</w:t>
      </w:r>
      <w:r>
        <w:rPr>
          <w:rStyle w:val="subscript"/>
        </w:rPr>
        <w:t>bB</w:t>
      </w:r>
      <w:proofErr w:type="spellEnd"/>
    </w:p>
    <w:p w14:paraId="222BBDBD" w14:textId="77777777" w:rsidR="00D709B2" w:rsidRDefault="00D709B2">
      <w:pPr>
        <w:rPr>
          <w:rStyle w:val="subscript"/>
        </w:rPr>
      </w:pPr>
    </w:p>
    <w:p w14:paraId="031ACFA9" w14:textId="77777777" w:rsidR="00D709B2" w:rsidRDefault="00D709B2">
      <w:pPr>
        <w:rPr>
          <w:rStyle w:val="subscript"/>
        </w:rPr>
      </w:pPr>
      <w:r>
        <w:rPr>
          <w:rStyle w:val="subscript"/>
        </w:rPr>
        <w:tab/>
      </w:r>
      <w:r>
        <w:t>(M</w:t>
      </w:r>
      <w:r>
        <w:sym w:font="Symbol" w:char="F0C4"/>
      </w:r>
      <w:r>
        <w:rPr>
          <w:b/>
        </w:rPr>
        <w:t>N)</w:t>
      </w:r>
      <w:proofErr w:type="spellStart"/>
      <w:r>
        <w:rPr>
          <w:rStyle w:val="subscript"/>
        </w:rPr>
        <w:t>ab,AB,αβ</w:t>
      </w:r>
      <w:proofErr w:type="spellEnd"/>
      <w:r>
        <w:t xml:space="preserve"> = </w:t>
      </w:r>
      <w:proofErr w:type="spellStart"/>
      <w:r>
        <w:t>M</w:t>
      </w:r>
      <w:r>
        <w:rPr>
          <w:rStyle w:val="subscript"/>
        </w:rPr>
        <w:t>aAα</w:t>
      </w:r>
      <w:r>
        <w:t>N</w:t>
      </w:r>
      <w:r>
        <w:rPr>
          <w:rStyle w:val="subscript"/>
        </w:rPr>
        <w:t>bBβ</w:t>
      </w:r>
      <w:proofErr w:type="spellEnd"/>
    </w:p>
    <w:p w14:paraId="369D2B43" w14:textId="77777777" w:rsidR="00D709B2" w:rsidRDefault="00D709B2">
      <w:pPr>
        <w:rPr>
          <w:rStyle w:val="subscript"/>
        </w:rPr>
      </w:pPr>
    </w:p>
    <w:p w14:paraId="46916AE8" w14:textId="77777777" w:rsidR="00D709B2" w:rsidRDefault="00D709B2">
      <w:r>
        <w:t>In all these cases, the expressions on the right have the correct multilinearity form. For example</w:t>
      </w:r>
    </w:p>
    <w:p w14:paraId="53BF0E49" w14:textId="77777777" w:rsidR="00D709B2" w:rsidRDefault="00D709B2"/>
    <w:p w14:paraId="6393F5B6" w14:textId="77777777" w:rsidR="00D709B2" w:rsidRDefault="00D709B2" w:rsidP="00D709B2">
      <w:r>
        <w:rPr>
          <w:rStyle w:val="subscript"/>
        </w:rPr>
        <w:tab/>
      </w:r>
      <w:r>
        <w:t>([</w:t>
      </w:r>
      <w:proofErr w:type="spellStart"/>
      <w:r>
        <w:t>αM+βM</w:t>
      </w:r>
      <w:proofErr w:type="spellEnd"/>
      <w:r>
        <w:t>']</w:t>
      </w:r>
      <w:r>
        <w:sym w:font="Symbol" w:char="F0C4"/>
      </w:r>
      <w:r>
        <w:rPr>
          <w:b/>
        </w:rPr>
        <w:t>N)</w:t>
      </w:r>
      <w:proofErr w:type="spellStart"/>
      <w:r>
        <w:rPr>
          <w:rStyle w:val="subscript"/>
        </w:rPr>
        <w:t>ab,AB,αβ</w:t>
      </w:r>
      <w:proofErr w:type="spellEnd"/>
      <w:r>
        <w:t xml:space="preserve"> = [</w:t>
      </w:r>
      <w:proofErr w:type="spellStart"/>
      <w:r>
        <w:t>αM+βM</w:t>
      </w:r>
      <w:proofErr w:type="spellEnd"/>
      <w:r>
        <w:t>']</w:t>
      </w:r>
      <w:proofErr w:type="spellStart"/>
      <w:r>
        <w:rPr>
          <w:rStyle w:val="subscript"/>
        </w:rPr>
        <w:t>aAα</w:t>
      </w:r>
      <w:r>
        <w:t>N</w:t>
      </w:r>
      <w:r>
        <w:rPr>
          <w:rStyle w:val="subscript"/>
        </w:rPr>
        <w:t>bBβ</w:t>
      </w:r>
      <w:proofErr w:type="spellEnd"/>
      <w:r>
        <w:t xml:space="preserve">  = α </w:t>
      </w:r>
      <w:proofErr w:type="spellStart"/>
      <w:r>
        <w:t>M</w:t>
      </w:r>
      <w:r>
        <w:rPr>
          <w:rStyle w:val="subscript"/>
        </w:rPr>
        <w:t>aAα</w:t>
      </w:r>
      <w:r>
        <w:t>N</w:t>
      </w:r>
      <w:r>
        <w:rPr>
          <w:rStyle w:val="subscript"/>
        </w:rPr>
        <w:t>bBβ</w:t>
      </w:r>
      <w:proofErr w:type="spellEnd"/>
      <w:r>
        <w:t xml:space="preserve"> + β </w:t>
      </w:r>
      <w:proofErr w:type="spellStart"/>
      <w:r>
        <w:t>M'</w:t>
      </w:r>
      <w:r>
        <w:rPr>
          <w:rStyle w:val="subscript"/>
        </w:rPr>
        <w:t>aAα</w:t>
      </w:r>
      <w:r>
        <w:t>N</w:t>
      </w:r>
      <w:r>
        <w:rPr>
          <w:rStyle w:val="subscript"/>
        </w:rPr>
        <w:t>bBβ</w:t>
      </w:r>
      <w:proofErr w:type="spellEnd"/>
    </w:p>
    <w:p w14:paraId="3E46363C" w14:textId="77777777" w:rsidR="00D709B2" w:rsidRDefault="00D709B2" w:rsidP="00D709B2"/>
    <w:p w14:paraId="269B83F3" w14:textId="77777777" w:rsidR="00D709B2" w:rsidRDefault="00D709B2" w:rsidP="00D709B2">
      <w:r>
        <w:t>6. One can write a most general element of V</w:t>
      </w:r>
      <w:r>
        <w:sym w:font="Symbol" w:char="F0C4"/>
      </w:r>
      <w:r>
        <w:t>V in this manner</w:t>
      </w:r>
    </w:p>
    <w:p w14:paraId="3721C730" w14:textId="77777777" w:rsidR="00D709B2" w:rsidRDefault="00D709B2" w:rsidP="00D709B2"/>
    <w:p w14:paraId="25E341F9" w14:textId="77777777" w:rsidR="00D709B2" w:rsidRDefault="00D709B2" w:rsidP="00D709B2"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D709B2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</w:t>
      </w:r>
    </w:p>
    <w:p w14:paraId="1A66B684" w14:textId="77777777" w:rsidR="00D709B2" w:rsidRDefault="00D709B2" w:rsidP="00D709B2"/>
    <w:p w14:paraId="71749D3F" w14:textId="77777777" w:rsidR="00D709B2" w:rsidRDefault="00D709B2" w:rsidP="00D709B2">
      <w:r>
        <w:t>but then with the extra ingredient, we can write</w:t>
      </w:r>
    </w:p>
    <w:p w14:paraId="21C17C0A" w14:textId="77777777" w:rsidR="00D709B2" w:rsidRDefault="00D709B2" w:rsidP="00D709B2"/>
    <w:p w14:paraId="16C052BE" w14:textId="77777777" w:rsidR="00D709B2" w:rsidRDefault="00D709B2" w:rsidP="00D709B2">
      <w:pPr>
        <w:rPr>
          <w:rStyle w:val="superscript"/>
        </w:rPr>
      </w:pPr>
      <w:r>
        <w:tab/>
        <w:t>T</w:t>
      </w:r>
      <w:r>
        <w:rPr>
          <w:rStyle w:val="superscript"/>
        </w:rPr>
        <w:t>IJ</w:t>
      </w:r>
      <w:r>
        <w:t xml:space="preserve"> ≡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D709B2">
        <w:rPr>
          <w:rStyle w:val="superscript"/>
        </w:rPr>
        <w:t>ij</w:t>
      </w:r>
      <w:proofErr w:type="spellEnd"/>
      <w:r>
        <w:t xml:space="preserve"> 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]</w:t>
      </w:r>
      <w:r>
        <w:rPr>
          <w:rStyle w:val="superscript"/>
        </w:rPr>
        <w:t>IJ</w:t>
      </w:r>
      <w:r>
        <w:t xml:space="preserve">  = 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D709B2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I</w:t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J</w:t>
      </w:r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I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J</w:t>
      </w:r>
      <w:proofErr w:type="spellEnd"/>
      <w:r>
        <w:t xml:space="preserve">  = T</w:t>
      </w:r>
      <w:r>
        <w:rPr>
          <w:rStyle w:val="superscript"/>
        </w:rPr>
        <w:t>IJ</w:t>
      </w:r>
    </w:p>
    <w:p w14:paraId="6B3304F5" w14:textId="77777777" w:rsidR="00D709B2" w:rsidRDefault="00D709B2" w:rsidP="00D709B2">
      <w:pPr>
        <w:rPr>
          <w:rStyle w:val="superscript"/>
        </w:rPr>
      </w:pPr>
    </w:p>
    <w:p w14:paraId="1F522537" w14:textId="77777777" w:rsidR="00D709B2" w:rsidRDefault="00D709B2" w:rsidP="00D709B2">
      <w:r>
        <w:t xml:space="preserve">and so the rank-2 tensor components agree left and right end. </w:t>
      </w:r>
    </w:p>
    <w:p w14:paraId="2D6A6C59" w14:textId="77777777" w:rsidR="00D709B2" w:rsidRDefault="00D709B2" w:rsidP="00D709B2"/>
    <w:p w14:paraId="66CB631A" w14:textId="77777777" w:rsidR="00D709B2" w:rsidRPr="00D709B2" w:rsidRDefault="00D709B2" w:rsidP="00D709B2">
      <w:r>
        <w:t xml:space="preserve">7. When the outer product construction has involves tensors of rank 2 or more (as shown in the last two examples above), it is called a Kronecker product, but again it is just a special version of the generic tensor product. </w:t>
      </w:r>
    </w:p>
    <w:p w14:paraId="23A5D54F" w14:textId="77777777" w:rsidR="00D709B2" w:rsidRPr="00D709B2" w:rsidRDefault="00D709B2" w:rsidP="00D709B2">
      <w:r>
        <w:tab/>
      </w:r>
    </w:p>
    <w:p w14:paraId="2BF4EAA7" w14:textId="77777777" w:rsidR="00D709B2" w:rsidRPr="00D709B2" w:rsidRDefault="00D709B2">
      <w:r>
        <w:tab/>
      </w:r>
    </w:p>
    <w:sectPr w:rsidR="00D709B2" w:rsidRPr="00D709B2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597F" w14:textId="77777777" w:rsidR="00795DB5" w:rsidRDefault="00795DB5">
      <w:r>
        <w:separator/>
      </w:r>
    </w:p>
  </w:endnote>
  <w:endnote w:type="continuationSeparator" w:id="0">
    <w:p w14:paraId="1BF0DD3D" w14:textId="77777777" w:rsidR="00795DB5" w:rsidRDefault="00795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D728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709B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39F34" w14:textId="77777777" w:rsidR="00795DB5" w:rsidRDefault="00795DB5">
      <w:r>
        <w:separator/>
      </w:r>
    </w:p>
  </w:footnote>
  <w:footnote w:type="continuationSeparator" w:id="0">
    <w:p w14:paraId="6E705634" w14:textId="77777777" w:rsidR="00795DB5" w:rsidRDefault="00795D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09B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6D6C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5DB5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4F08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09B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BDCFE2"/>
  <w15:chartTrackingRefBased/>
  <w15:docId w15:val="{756BB1F2-5BEC-46E2-8E56-A9411B4A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2208</Characters>
  <Application>Microsoft Office Word</Application>
  <DocSecurity>4</DocSecurity>
  <Lines>69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2026-09-06T21:10:00Z</dcterms:created>
  <dcterms:modified xsi:type="dcterms:W3CDTF">2026-09-06T21:10:00Z</dcterms:modified>
</cp:coreProperties>
</file>