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DFF2" w14:textId="77777777" w:rsidR="00291390" w:rsidRDefault="005F377C">
      <w:pPr>
        <w:tabs>
          <w:tab w:val="right" w:pos="9270"/>
        </w:tabs>
      </w:pPr>
      <w:r w:rsidRPr="005F377C">
        <w:rPr>
          <w:b/>
        </w:rPr>
        <w:t>App A added items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</w:t>
      </w:r>
      <w:r w:rsidR="0071283F">
        <w:t>.11.1</w:t>
      </w:r>
      <w:r>
        <w:t>6</w:t>
      </w:r>
    </w:p>
    <w:p w14:paraId="262C2DB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7E2A76A" w14:textId="77777777" w:rsidR="00291390" w:rsidRPr="00D438AB" w:rsidRDefault="00D438AB">
      <w:pPr>
        <w:rPr>
          <w:color w:val="FF0000"/>
        </w:rPr>
      </w:pPr>
      <w:r w:rsidRPr="00D438AB">
        <w:rPr>
          <w:color w:val="FF0000"/>
        </w:rPr>
        <w:t>This is a 5/11/16  update to Section A.10 where I include item (A.10.3) and explain why it works. I have a similar update do the tensor part of this appendix.  // 5.17.16</w:t>
      </w:r>
    </w:p>
    <w:p w14:paraId="1D3D507F" w14:textId="77777777" w:rsidR="00D438AB" w:rsidRDefault="00D438AB"/>
    <w:p w14:paraId="5445DA73" w14:textId="77777777" w:rsidR="0082443F" w:rsidRPr="0082443F" w:rsidRDefault="0082443F">
      <w:pPr>
        <w:rPr>
          <w:b/>
        </w:rPr>
      </w:pPr>
      <w:r w:rsidRPr="0082443F">
        <w:rPr>
          <w:b/>
        </w:rPr>
        <w:t>A.1</w:t>
      </w:r>
      <w:r w:rsidR="00475004">
        <w:rPr>
          <w:b/>
        </w:rPr>
        <w:t>0</w:t>
      </w:r>
      <w:r w:rsidRPr="0082443F">
        <w:rPr>
          <w:b/>
        </w:rPr>
        <w:t xml:space="preserve"> Tensor Products in Generic Notation</w:t>
      </w:r>
    </w:p>
    <w:p w14:paraId="16DA3E1A" w14:textId="77777777" w:rsidR="0082443F" w:rsidRDefault="0082443F"/>
    <w:p w14:paraId="4D8D3A7F" w14:textId="77777777" w:rsidR="0082443F" w:rsidRDefault="0082443F">
      <w:r>
        <w:t xml:space="preserve">Recall the following generic space definition of a tensor product of two functions made above in (A.2.19), </w:t>
      </w:r>
    </w:p>
    <w:p w14:paraId="3E09E5D1" w14:textId="77777777" w:rsidR="0082443F" w:rsidRDefault="0082443F"/>
    <w:p w14:paraId="1CC247F0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  <w:rPr>
          <w:b/>
        </w:rPr>
      </w:pPr>
      <w:r w:rsidRPr="000624AA">
        <w:rPr>
          <w:b/>
        </w:rPr>
        <w:t xml:space="preserve">Definition: </w:t>
      </w:r>
      <w:r w:rsidRPr="00561095">
        <w:t>Tensor product</w:t>
      </w:r>
      <w:r>
        <w:rPr>
          <w:b/>
        </w:rPr>
        <w:t xml:space="preserve">:   </w:t>
      </w:r>
      <w:r>
        <w:t>(f</w:t>
      </w:r>
      <w:r>
        <w:sym w:font="Symbol" w:char="F0C4"/>
      </w:r>
      <w:r>
        <w:t>g)(1,2,....</w:t>
      </w:r>
      <w:proofErr w:type="spellStart"/>
      <w:r>
        <w:t>k+k</w:t>
      </w:r>
      <w:proofErr w:type="spellEnd"/>
      <w:r>
        <w:t>') ≡ f(1,2...k)  g(k+1,k+2....</w:t>
      </w:r>
      <w:proofErr w:type="spellStart"/>
      <w:r>
        <w:t>k+k</w:t>
      </w:r>
      <w:proofErr w:type="spellEnd"/>
      <w:r>
        <w:t>')</w:t>
      </w:r>
      <w:r>
        <w:tab/>
        <w:t xml:space="preserve">  </w:t>
      </w:r>
      <w:r w:rsidRPr="0082443F">
        <w:rPr>
          <w:i/>
        </w:rPr>
        <w:t>(A.2.19)</w:t>
      </w:r>
      <w:r>
        <w:tab/>
      </w:r>
      <w:r w:rsidRPr="005D1BDC"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.1</w:t>
      </w:r>
      <w:r w:rsidRPr="005D1BDC">
        <w:rPr>
          <w:color w:val="000000"/>
        </w:rPr>
        <w:t>)</w:t>
      </w:r>
    </w:p>
    <w:p w14:paraId="644E80D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32B11929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 xml:space="preserve">If we translate this definition in the same way we translated everything else, we arrive at this corresponding statement in the tensor world, </w:t>
      </w:r>
    </w:p>
    <w:p w14:paraId="4F1F130F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762B0621" w14:textId="77777777" w:rsidR="0082443F" w:rsidRPr="005D1BDC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D1BDC">
        <w:rPr>
          <w:b/>
          <w:color w:val="000000"/>
        </w:rPr>
        <w:t xml:space="preserve">Definition: </w:t>
      </w:r>
      <w:r w:rsidRPr="005D1BDC">
        <w:rPr>
          <w:color w:val="000000"/>
        </w:rPr>
        <w:t>Tensor product</w:t>
      </w:r>
      <w:r w:rsidRPr="005D1BDC">
        <w:rPr>
          <w:b/>
          <w:color w:val="000000"/>
        </w:rPr>
        <w:t xml:space="preserve">:   </w:t>
      </w:r>
      <w:r w:rsidRPr="005D1BDC">
        <w:rPr>
          <w:color w:val="000000"/>
        </w:rPr>
        <w:t>(T</w:t>
      </w:r>
      <w:r w:rsidRPr="005D1BDC">
        <w:rPr>
          <w:color w:val="000000"/>
        </w:rPr>
        <w:sym w:font="Symbol" w:char="F0C4"/>
      </w:r>
      <w:r w:rsidRPr="005D1BDC">
        <w:rPr>
          <w:color w:val="000000"/>
        </w:rPr>
        <w:t>S)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\s\do2(k+k')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color w:val="000000"/>
        </w:rPr>
        <w:t xml:space="preserve"> ≡ </w:t>
      </w:r>
      <w:proofErr w:type="spellStart"/>
      <w:r w:rsidRPr="005D1BDC">
        <w:rPr>
          <w:color w:val="000000"/>
        </w:rPr>
        <w:t>T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color w:val="000000"/>
        </w:rPr>
        <w:t xml:space="preserve">  </w:t>
      </w:r>
      <w:proofErr w:type="spellStart"/>
      <w:r w:rsidRPr="005D1BDC">
        <w:rPr>
          <w:color w:val="000000"/>
        </w:rPr>
        <w:t>S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\s\do2(k+k')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color w:val="000000"/>
        </w:rPr>
        <w:t xml:space="preserve">, </w:t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</w:p>
    <w:p w14:paraId="6B971E7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5D1BDC">
        <w:rPr>
          <w:color w:val="000000"/>
        </w:rPr>
        <w:t xml:space="preserve">where the ranks of tensors T,S are </w:t>
      </w:r>
      <w:proofErr w:type="spellStart"/>
      <w:r w:rsidRPr="005D1BDC">
        <w:rPr>
          <w:color w:val="000000"/>
        </w:rPr>
        <w:t>k,k</w:t>
      </w:r>
      <w:proofErr w:type="spellEnd"/>
      <w:r w:rsidRPr="005D1BDC">
        <w:rPr>
          <w:color w:val="000000"/>
        </w:rPr>
        <w:t xml:space="preserve">'. </w:t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 w:rsidRPr="005D1BDC">
        <w:rPr>
          <w:color w:val="000000"/>
        </w:rPr>
        <w:tab/>
      </w:r>
      <w:r>
        <w:rPr>
          <w:color w:val="000000"/>
        </w:rPr>
        <w:tab/>
      </w:r>
      <w:r w:rsidRPr="005D1BDC"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.2</w:t>
      </w:r>
      <w:r w:rsidRPr="005D1BDC">
        <w:rPr>
          <w:color w:val="000000"/>
        </w:rPr>
        <w:t>)</w:t>
      </w:r>
    </w:p>
    <w:p w14:paraId="1F78AC7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7C7CEF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Since (A</w:t>
      </w:r>
      <w:r w:rsidR="00475004">
        <w:rPr>
          <w:color w:val="000000"/>
        </w:rPr>
        <w:t>.10</w:t>
      </w:r>
      <w:r>
        <w:rPr>
          <w:color w:val="000000"/>
        </w:rPr>
        <w:t xml:space="preserve">.1) is already defined to be true using the "outer product definition" of the </w:t>
      </w:r>
      <w:r>
        <w:rPr>
          <w:color w:val="000000"/>
        </w:rPr>
        <w:sym w:font="Symbol" w:char="F0C4"/>
      </w:r>
      <w:r>
        <w:rPr>
          <w:color w:val="000000"/>
        </w:rPr>
        <w:t xml:space="preserve"> symbol in Section 2.8, it seems that here we are just lucky to obtain a consistent result. We put this issue on hold for a moment, and consider next the way (A</w:t>
      </w:r>
      <w:r w:rsidR="00475004">
        <w:rPr>
          <w:color w:val="000000"/>
        </w:rPr>
        <w:t>.10</w:t>
      </w:r>
      <w:r>
        <w:rPr>
          <w:color w:val="000000"/>
        </w:rPr>
        <w:t xml:space="preserve">.1) translates into the tensor function world, </w:t>
      </w:r>
    </w:p>
    <w:p w14:paraId="09D1CFC5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1C5E41" w14:textId="77777777" w:rsidR="0082443F" w:rsidRPr="0022116B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2116B">
        <w:rPr>
          <w:b/>
          <w:color w:val="000000"/>
        </w:rPr>
        <w:t xml:space="preserve">Definition: </w:t>
      </w:r>
      <w:r w:rsidRPr="0022116B">
        <w:rPr>
          <w:color w:val="000000"/>
        </w:rPr>
        <w:t>Tensor product</w:t>
      </w:r>
      <w:r w:rsidRPr="0022116B">
        <w:rPr>
          <w:b/>
          <w:color w:val="000000"/>
        </w:rPr>
        <w:t xml:space="preserve">:   </w:t>
      </w:r>
      <w:r w:rsidRPr="0022116B">
        <w:rPr>
          <w:color w:val="000000"/>
        </w:rPr>
        <w:t>(</w:t>
      </w:r>
      <w:r w:rsidRPr="0022116B">
        <w:rPr>
          <w:rFonts w:ascii="Script MT Bold" w:hAnsi="Script MT Bold"/>
          <w:color w:val="000000"/>
        </w:rPr>
        <w:t>T</w:t>
      </w:r>
      <w:r w:rsidRPr="0022116B">
        <w:rPr>
          <w:color w:val="000000"/>
        </w:rPr>
        <w:sym w:font="Symbol" w:char="F0C4"/>
      </w:r>
      <w:r w:rsidRPr="0022116B">
        <w:rPr>
          <w:rFonts w:ascii="Script MT Bold" w:hAnsi="Script MT Bold"/>
          <w:color w:val="000000"/>
        </w:rPr>
        <w:t>S</w:t>
      </w:r>
      <w:r w:rsidRPr="0022116B">
        <w:rPr>
          <w:color w:val="000000"/>
        </w:rPr>
        <w:t>)(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\s\do2(k+k')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 xml:space="preserve">) ≡ </w:t>
      </w:r>
      <w:r w:rsidRPr="0022116B">
        <w:rPr>
          <w:rFonts w:ascii="Script MT Bold" w:hAnsi="Script MT Bold"/>
          <w:color w:val="000000"/>
        </w:rPr>
        <w:t>T</w:t>
      </w:r>
      <w:r w:rsidRPr="0022116B">
        <w:rPr>
          <w:color w:val="000000"/>
        </w:rPr>
        <w:t>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 xml:space="preserve">) </w:t>
      </w:r>
      <w:r w:rsidRPr="0022116B">
        <w:rPr>
          <w:rFonts w:ascii="Script MT Bold" w:hAnsi="Script MT Bold"/>
          <w:color w:val="000000"/>
        </w:rPr>
        <w:t>S</w:t>
      </w:r>
      <w:r w:rsidRPr="0022116B">
        <w:rPr>
          <w:color w:val="000000"/>
        </w:rPr>
        <w:t>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\s\do2(k+k')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 xml:space="preserve">), </w:t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</w:p>
    <w:p w14:paraId="4858CB7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2116B">
        <w:rPr>
          <w:color w:val="000000"/>
        </w:rPr>
        <w:t xml:space="preserve">where the ranks of </w:t>
      </w:r>
      <w:r>
        <w:rPr>
          <w:color w:val="000000"/>
        </w:rPr>
        <w:t xml:space="preserve">dual </w:t>
      </w:r>
      <w:r w:rsidRPr="0022116B">
        <w:rPr>
          <w:color w:val="000000"/>
        </w:rPr>
        <w:t xml:space="preserve">tensors </w:t>
      </w:r>
      <w:r w:rsidRPr="0022116B">
        <w:rPr>
          <w:rFonts w:ascii="Script MT Bold" w:hAnsi="Script MT Bold"/>
          <w:color w:val="000000"/>
        </w:rPr>
        <w:t>T</w:t>
      </w:r>
      <w:r w:rsidRPr="0022116B">
        <w:rPr>
          <w:color w:val="000000"/>
        </w:rPr>
        <w:t>,</w:t>
      </w:r>
      <w:r w:rsidRPr="0022116B">
        <w:rPr>
          <w:rFonts w:ascii="Script MT Bold" w:hAnsi="Script MT Bold"/>
          <w:color w:val="000000"/>
        </w:rPr>
        <w:t>S</w:t>
      </w:r>
      <w:r w:rsidRPr="0022116B">
        <w:rPr>
          <w:color w:val="000000"/>
        </w:rPr>
        <w:t xml:space="preserve"> are </w:t>
      </w:r>
      <w:proofErr w:type="spellStart"/>
      <w:r w:rsidRPr="0022116B">
        <w:rPr>
          <w:color w:val="000000"/>
        </w:rPr>
        <w:t>k,k</w:t>
      </w:r>
      <w:proofErr w:type="spellEnd"/>
      <w:r w:rsidRPr="0022116B">
        <w:rPr>
          <w:color w:val="000000"/>
        </w:rPr>
        <w:t xml:space="preserve">'. </w:t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 w:rsidRPr="0022116B">
        <w:rPr>
          <w:color w:val="000000"/>
        </w:rP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.3)</w:t>
      </w:r>
    </w:p>
    <w:p w14:paraId="118264A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5B4A81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In Section 6.6 it seemed that we had to do quite a bit of work to obtain (A</w:t>
      </w:r>
      <w:r w:rsidR="00475004">
        <w:rPr>
          <w:color w:val="000000"/>
        </w:rPr>
        <w:t>.10</w:t>
      </w:r>
      <w:r>
        <w:rPr>
          <w:color w:val="000000"/>
        </w:rPr>
        <w:t xml:space="preserve">.3) as stated in </w:t>
      </w:r>
      <w:r>
        <w:t xml:space="preserve">(6.6.13), and here suddenly this same result just drops out as some kind of definition. </w:t>
      </w:r>
    </w:p>
    <w:p w14:paraId="134624C9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04FDF868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>Both these issues can be clarified by use of the Dirac notation which reveals the underlying spaces. First, we can write (A</w:t>
      </w:r>
      <w:r w:rsidR="00475004">
        <w:t>.10</w:t>
      </w:r>
      <w:r>
        <w:t>.1) in the generic world as</w:t>
      </w:r>
    </w:p>
    <w:p w14:paraId="1E2F68E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1BD82576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  <w:t>&lt;f</w:t>
      </w:r>
      <w:r>
        <w:sym w:font="Symbol" w:char="F0C4"/>
      </w:r>
      <w:r>
        <w:t>g |  1,2,.....</w:t>
      </w:r>
      <w:proofErr w:type="spellStart"/>
      <w:r>
        <w:t>k+k</w:t>
      </w:r>
      <w:proofErr w:type="spellEnd"/>
      <w:r>
        <w:t>'&gt; = &lt;f |  1,2,.....k&gt; &lt;g |  k+1,k+2.....</w:t>
      </w:r>
      <w:proofErr w:type="spellStart"/>
      <w:r>
        <w:t>k+k</w:t>
      </w:r>
      <w:proofErr w:type="spellEnd"/>
      <w:r>
        <w:t>'&gt;</w:t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.4)</w:t>
      </w:r>
    </w:p>
    <w:p w14:paraId="4E21D48B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02E3A69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>where for example</w:t>
      </w:r>
    </w:p>
    <w:p w14:paraId="727A133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50401F91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  <w:t xml:space="preserve"> |  1,2,.....k&gt;   = |1&gt; </w:t>
      </w:r>
      <w:r>
        <w:sym w:font="Symbol" w:char="F0C4"/>
      </w:r>
      <w:r>
        <w:t xml:space="preserve"> |2&gt;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|k&gt;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.5)</w:t>
      </w:r>
    </w:p>
    <w:p w14:paraId="4707CE86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118AC426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  <w:t>&lt;f</w:t>
      </w:r>
      <w:r>
        <w:sym w:font="Symbol" w:char="F0C4"/>
      </w:r>
      <w:r>
        <w:t xml:space="preserve">g|  = &lt;f| </w:t>
      </w:r>
      <w:r>
        <w:sym w:font="Symbol" w:char="F0C4"/>
      </w:r>
      <w:r>
        <w:t xml:space="preserve"> &lt;g|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.6)</w:t>
      </w:r>
    </w:p>
    <w:p w14:paraId="139394A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1FB9F8D9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>Suddenly we are interpreting the generic argument set (1,2,...k) as if it were a tensor product of "generic kets". By itself, this does not really make much sense, but when we think of the generic description as being a stand-in for our tensor and tensor-function cases, then it does make sense. We show in Appendix D (D.1.2) and (D.1.5), and also in the main text (6.2.7) and (5.2.3a), that</w:t>
      </w:r>
    </w:p>
    <w:p w14:paraId="3C8C692F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71AC0D6F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 = &lt;</w:t>
      </w:r>
      <w:r w:rsidRPr="00162682"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</w:p>
    <w:p w14:paraId="708C4199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4FBD8889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</w:t>
      </w:r>
      <w:r>
        <w:tab/>
        <w:t xml:space="preserve">where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</w:t>
      </w:r>
      <w:r>
        <w:sym w:font="Symbol" w:char="F0C4"/>
      </w:r>
      <w:r>
        <w:t xml:space="preserve">  .....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.7)</w:t>
      </w:r>
    </w:p>
    <w:p w14:paraId="352BD6A6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6DD660D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 =   &lt;</w:t>
      </w:r>
      <w:r w:rsidRPr="00162682">
        <w:t>T</w:t>
      </w:r>
      <w:r>
        <w:t xml:space="preserve"> |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</w:p>
    <w:p w14:paraId="544DFD55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4EFC8F01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where  |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|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 |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</w:t>
      </w:r>
      <w:r>
        <w:sym w:font="Symbol" w:char="F0C4"/>
      </w:r>
      <w:r>
        <w:t xml:space="preserve">  ..... </w:t>
      </w:r>
      <w:r>
        <w:sym w:font="Symbol" w:char="F0C4"/>
      </w:r>
      <w:r>
        <w:t xml:space="preserve">  |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.8)</w:t>
      </w:r>
    </w:p>
    <w:p w14:paraId="4A06ED2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06C40E0B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 xml:space="preserve">and here we see the real meanings of the generic stand-in tensor product   |1&gt; </w:t>
      </w:r>
      <w:r>
        <w:sym w:font="Symbol" w:char="F0C4"/>
      </w:r>
      <w:r>
        <w:t xml:space="preserve"> |2&gt;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|k&gt;. </w:t>
      </w:r>
    </w:p>
    <w:p w14:paraId="2A5B638F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  <w:t>For the tensor case we then write</w:t>
      </w:r>
    </w:p>
    <w:p w14:paraId="0F073B3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2376A344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D1BDC">
        <w:rPr>
          <w:color w:val="000000"/>
        </w:rPr>
        <w:t>(T</w:t>
      </w:r>
      <w:r w:rsidRPr="005D1BDC">
        <w:rPr>
          <w:color w:val="000000"/>
        </w:rPr>
        <w:sym w:font="Symbol" w:char="F0C4"/>
      </w:r>
      <w:r w:rsidRPr="005D1BDC">
        <w:rPr>
          <w:color w:val="000000"/>
        </w:rPr>
        <w:t>S)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\s\do2(k+k')</w:instrText>
      </w:r>
      <w:r w:rsidRPr="005D1BDC">
        <w:rPr>
          <w:rStyle w:val="superscript"/>
          <w:color w:val="000000"/>
        </w:rPr>
        <w:fldChar w:fldCharType="end"/>
      </w:r>
      <w:r>
        <w:t xml:space="preserve">  =  &lt; </w:t>
      </w:r>
      <w:r w:rsidRPr="005D1BDC">
        <w:rPr>
          <w:color w:val="000000"/>
        </w:rPr>
        <w:t>T</w:t>
      </w:r>
      <w:r w:rsidRPr="005D1BDC">
        <w:rPr>
          <w:color w:val="000000"/>
        </w:rPr>
        <w:sym w:font="Symbol" w:char="F0C4"/>
      </w:r>
      <w:r w:rsidRPr="005D1BDC">
        <w:rPr>
          <w:color w:val="000000"/>
        </w:rPr>
        <w:t>S</w:t>
      </w:r>
      <w:r>
        <w:t xml:space="preserve">|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</w:p>
    <w:p w14:paraId="196220BA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648E3BD0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[ </w:t>
      </w:r>
      <w:r>
        <w:rPr>
          <w:rStyle w:val="subscript"/>
        </w:rPr>
        <w:t>k</w:t>
      </w:r>
      <w:r>
        <w:t xml:space="preserve">&lt;T| </w:t>
      </w:r>
      <w:r>
        <w:sym w:font="Symbol" w:char="F0C4"/>
      </w:r>
      <w:r>
        <w:t xml:space="preserve"> </w:t>
      </w:r>
      <w:r>
        <w:rPr>
          <w:rStyle w:val="subscript"/>
        </w:rPr>
        <w:t>k'</w:t>
      </w:r>
      <w:r>
        <w:t xml:space="preserve">&lt;S|  ]  [ 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k+1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k'</w:t>
      </w:r>
      <w:r>
        <w:t xml:space="preserve"> ] </w:t>
      </w:r>
    </w:p>
    <w:p w14:paraId="3F9975E7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7D4CE280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</w:t>
      </w:r>
      <w:r>
        <w:rPr>
          <w:rStyle w:val="subscript"/>
        </w:rPr>
        <w:t>k</w:t>
      </w:r>
      <w:r>
        <w:t xml:space="preserve">&lt; </w:t>
      </w:r>
      <w:r w:rsidRPr="005D1BDC">
        <w:rPr>
          <w:color w:val="000000"/>
        </w:rPr>
        <w:t>T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</w:t>
      </w:r>
      <w:r>
        <w:t xml:space="preserve">  </w:t>
      </w:r>
      <w:r>
        <w:rPr>
          <w:rStyle w:val="subscript"/>
        </w:rPr>
        <w:t>k'</w:t>
      </w:r>
      <w:r>
        <w:t xml:space="preserve">&lt; </w:t>
      </w:r>
      <w:r>
        <w:rPr>
          <w:color w:val="000000"/>
        </w:rPr>
        <w:t xml:space="preserve">S | </w:t>
      </w:r>
      <w:r>
        <w:t xml:space="preserve"> </w:t>
      </w:r>
      <w:proofErr w:type="spellStart"/>
      <w:r>
        <w:t>u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k+1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u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k'</w:t>
      </w:r>
    </w:p>
    <w:p w14:paraId="099A4290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7DF83DBD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 w:rsidRPr="005D1BDC">
        <w:rPr>
          <w:color w:val="000000"/>
        </w:rPr>
        <w:t>T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color w:val="000000"/>
        </w:rPr>
        <w:t xml:space="preserve">  </w:t>
      </w:r>
      <w:proofErr w:type="spellStart"/>
      <w:r w:rsidRPr="005D1BDC">
        <w:rPr>
          <w:color w:val="000000"/>
        </w:rPr>
        <w:t>S</w:t>
      </w:r>
      <w:r w:rsidRPr="005D1BDC">
        <w:rPr>
          <w:rStyle w:val="superscript"/>
          <w:color w:val="000000"/>
        </w:rPr>
        <w:t>i</w:t>
      </w:r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\s\do2(k+1)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\s\do2(k+2)</w:instrText>
      </w:r>
      <w:r w:rsidRPr="005D1BDC">
        <w:rPr>
          <w:rStyle w:val="superscript"/>
          <w:color w:val="000000"/>
        </w:rPr>
        <w:fldChar w:fldCharType="end"/>
      </w:r>
      <w:r w:rsidRPr="005D1BDC">
        <w:rPr>
          <w:rStyle w:val="superscript"/>
          <w:color w:val="000000"/>
        </w:rPr>
        <w:t>...</w:t>
      </w:r>
      <w:proofErr w:type="spellStart"/>
      <w:r w:rsidRPr="005D1BDC">
        <w:rPr>
          <w:rStyle w:val="superscript"/>
          <w:color w:val="000000"/>
        </w:rPr>
        <w:t>i</w:t>
      </w:r>
      <w:proofErr w:type="spellEnd"/>
      <w:r w:rsidRPr="005D1BDC">
        <w:rPr>
          <w:rStyle w:val="superscript"/>
          <w:color w:val="000000"/>
        </w:rPr>
        <w:fldChar w:fldCharType="begin"/>
      </w:r>
      <w:r w:rsidRPr="005D1BDC">
        <w:rPr>
          <w:rStyle w:val="superscript"/>
          <w:color w:val="000000"/>
        </w:rPr>
        <w:instrText xml:space="preserve"> EQ \s\do2(k+k')</w:instrText>
      </w:r>
      <w:r w:rsidRPr="005D1BDC">
        <w:rPr>
          <w:rStyle w:val="superscript"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.9)</w:t>
      </w:r>
    </w:p>
    <w:p w14:paraId="37657B0A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4B2E0061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 xml:space="preserve">and the tensor space structure then directly implies the "outer product" rule defined in Chapter 2. The subscript k labels a ket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>and a bra in V*</w:t>
      </w:r>
      <w:r>
        <w:rPr>
          <w:rStyle w:val="superscript"/>
        </w:rPr>
        <w:t>k</w:t>
      </w:r>
      <w:r>
        <w:t xml:space="preserve">, for example. </w:t>
      </w:r>
    </w:p>
    <w:p w14:paraId="3ED16999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02CCDCB1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 xml:space="preserve">In the tensor-function case we do exactly the same thing but with </w:t>
      </w:r>
      <w:proofErr w:type="spellStart"/>
      <w:r>
        <w:t>u→v</w:t>
      </w:r>
      <w:proofErr w:type="spellEnd"/>
      <w:r>
        <w:t xml:space="preserve">, </w:t>
      </w:r>
    </w:p>
    <w:p w14:paraId="083B181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5E170CA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 w:rsidRPr="0022116B">
        <w:rPr>
          <w:color w:val="000000"/>
        </w:rPr>
        <w:t>(</w:t>
      </w:r>
      <w:r w:rsidRPr="0022116B">
        <w:rPr>
          <w:rFonts w:ascii="Script MT Bold" w:hAnsi="Script MT Bold"/>
          <w:color w:val="000000"/>
        </w:rPr>
        <w:t>T</w:t>
      </w:r>
      <w:r w:rsidRPr="0022116B">
        <w:rPr>
          <w:color w:val="000000"/>
        </w:rPr>
        <w:sym w:font="Symbol" w:char="F0C4"/>
      </w:r>
      <w:r w:rsidRPr="0022116B">
        <w:rPr>
          <w:rFonts w:ascii="Script MT Bold" w:hAnsi="Script MT Bold"/>
          <w:color w:val="000000"/>
        </w:rPr>
        <w:t>S</w:t>
      </w:r>
      <w:r w:rsidRPr="0022116B">
        <w:rPr>
          <w:color w:val="000000"/>
        </w:rPr>
        <w:t>)(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\s\do2(k+k')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)</w:t>
      </w:r>
      <w:r>
        <w:t xml:space="preserve">  = &lt; T</w:t>
      </w:r>
      <w:r w:rsidRPr="0022116B">
        <w:rPr>
          <w:color w:val="000000"/>
        </w:rPr>
        <w:sym w:font="Symbol" w:char="F0C4"/>
      </w:r>
      <w:r w:rsidRPr="0082443F">
        <w:t>S</w:t>
      </w:r>
      <w:r>
        <w:rPr>
          <w:rFonts w:ascii="Script MT Bold" w:hAnsi="Script MT Bold"/>
          <w:color w:val="000000"/>
        </w:rPr>
        <w:t xml:space="preserve"> </w:t>
      </w:r>
      <w:r>
        <w:t xml:space="preserve">| 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\s\do2(k+k')</w:instrText>
      </w:r>
      <w:r w:rsidRPr="0022116B">
        <w:rPr>
          <w:rStyle w:val="subscript"/>
          <w:color w:val="000000"/>
        </w:rPr>
        <w:fldChar w:fldCharType="end"/>
      </w:r>
      <w:r>
        <w:t xml:space="preserve">&gt; </w:t>
      </w:r>
    </w:p>
    <w:p w14:paraId="354C8620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53C237AA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[ </w:t>
      </w:r>
      <w:r>
        <w:rPr>
          <w:rStyle w:val="subscript"/>
        </w:rPr>
        <w:t>k</w:t>
      </w:r>
      <w:r>
        <w:t xml:space="preserve">&lt;T| </w:t>
      </w:r>
      <w:r>
        <w:sym w:font="Symbol" w:char="F0C4"/>
      </w:r>
      <w:r>
        <w:t xml:space="preserve"> </w:t>
      </w:r>
      <w:r>
        <w:rPr>
          <w:rStyle w:val="subscript"/>
        </w:rPr>
        <w:t>k'</w:t>
      </w:r>
      <w:r>
        <w:t>&lt;</w:t>
      </w:r>
      <w:r w:rsidRPr="0082443F">
        <w:t>S</w:t>
      </w:r>
      <w:r>
        <w:t xml:space="preserve">|  ]  [ 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k+1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k'</w:t>
      </w:r>
      <w:r>
        <w:t xml:space="preserve"> ] </w:t>
      </w:r>
    </w:p>
    <w:p w14:paraId="5CDE5DE1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59C47ADF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</w:t>
      </w:r>
      <w:r>
        <w:rPr>
          <w:rStyle w:val="subscript"/>
        </w:rPr>
        <w:t>k</w:t>
      </w:r>
      <w:r>
        <w:t xml:space="preserve">&lt; </w:t>
      </w:r>
      <w:r w:rsidRPr="005D1BDC">
        <w:rPr>
          <w:color w:val="000000"/>
        </w:rPr>
        <w:t>T</w:t>
      </w:r>
      <w:r>
        <w:rPr>
          <w:color w:val="000000"/>
        </w:rPr>
        <w:t xml:space="preserve"> | </w:t>
      </w:r>
      <w:r>
        <w:t xml:space="preserve">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</w:t>
      </w:r>
      <w:r>
        <w:t xml:space="preserve">  </w:t>
      </w:r>
      <w:r>
        <w:rPr>
          <w:rStyle w:val="subscript"/>
        </w:rPr>
        <w:t>k'</w:t>
      </w:r>
      <w:r>
        <w:t xml:space="preserve">&lt; </w:t>
      </w:r>
      <w:r>
        <w:rPr>
          <w:color w:val="000000"/>
        </w:rPr>
        <w:t xml:space="preserve">S | </w:t>
      </w:r>
      <w:r>
        <w:t xml:space="preserve">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k+1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k+k'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k'</w:t>
      </w:r>
    </w:p>
    <w:p w14:paraId="61AA99B2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68D735F3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116B">
        <w:rPr>
          <w:rFonts w:ascii="Script MT Bold" w:hAnsi="Script MT Bold"/>
          <w:color w:val="000000"/>
        </w:rPr>
        <w:t>T</w:t>
      </w:r>
      <w:r w:rsidRPr="0022116B">
        <w:rPr>
          <w:color w:val="000000"/>
        </w:rPr>
        <w:t>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 xml:space="preserve">) </w:t>
      </w:r>
      <w:r w:rsidRPr="0022116B">
        <w:rPr>
          <w:rFonts w:ascii="Script MT Bold" w:hAnsi="Script MT Bold"/>
          <w:color w:val="000000"/>
        </w:rPr>
        <w:t>S</w:t>
      </w:r>
      <w:r w:rsidRPr="0022116B">
        <w:rPr>
          <w:color w:val="000000"/>
        </w:rPr>
        <w:t>(</w:t>
      </w:r>
      <w:proofErr w:type="spellStart"/>
      <w:r w:rsidRPr="0022116B">
        <w:rPr>
          <w:color w:val="000000"/>
        </w:rPr>
        <w:t>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\s\do2(k+1)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,v</w:t>
      </w:r>
      <w:r w:rsidRPr="0022116B">
        <w:rPr>
          <w:rStyle w:val="subscript"/>
          <w:color w:val="000000"/>
        </w:rPr>
        <w:t>i</w:t>
      </w:r>
      <w:proofErr w:type="spellEnd"/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\s\do2(k+2)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....v</w:t>
      </w:r>
      <w:r w:rsidRPr="0022116B">
        <w:rPr>
          <w:rStyle w:val="subscript"/>
          <w:color w:val="000000"/>
        </w:rPr>
        <w:t>i</w:t>
      </w:r>
      <w:r w:rsidRPr="0022116B">
        <w:rPr>
          <w:rStyle w:val="subscript"/>
          <w:color w:val="000000"/>
        </w:rPr>
        <w:fldChar w:fldCharType="begin"/>
      </w:r>
      <w:r w:rsidRPr="0022116B">
        <w:rPr>
          <w:rStyle w:val="subscript"/>
          <w:color w:val="000000"/>
        </w:rPr>
        <w:instrText xml:space="preserve"> EQ \s\do2(k+k')</w:instrText>
      </w:r>
      <w:r w:rsidRPr="0022116B">
        <w:rPr>
          <w:rStyle w:val="subscript"/>
          <w:color w:val="000000"/>
        </w:rPr>
        <w:fldChar w:fldCharType="end"/>
      </w:r>
      <w:r w:rsidRPr="0022116B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(A</w:t>
      </w:r>
      <w:r w:rsidR="00475004">
        <w:rPr>
          <w:color w:val="000000"/>
        </w:rPr>
        <w:t>.10</w:t>
      </w:r>
      <w:r>
        <w:rPr>
          <w:color w:val="000000"/>
        </w:rPr>
        <w:t>.</w:t>
      </w:r>
      <w:r w:rsidR="00475004">
        <w:rPr>
          <w:color w:val="000000"/>
        </w:rPr>
        <w:t>1</w:t>
      </w:r>
      <w:r>
        <w:rPr>
          <w:color w:val="000000"/>
        </w:rPr>
        <w:t>0)</w:t>
      </w:r>
    </w:p>
    <w:p w14:paraId="233DA7E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F5E6591" w14:textId="77777777" w:rsidR="0082443F" w:rsidRPr="0082443F" w:rsidRDefault="0082443F" w:rsidP="0082443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and again the tensor space structure forces this tensor function result. In fact, this is exactly how we derived this result in (6.6.12) for a more general case. </w:t>
      </w:r>
    </w:p>
    <w:p w14:paraId="336B24B3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</w:pPr>
    </w:p>
    <w:p w14:paraId="306BA345" w14:textId="77777777" w:rsidR="0082443F" w:rsidRDefault="0082443F" w:rsidP="008244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 </w:t>
      </w:r>
    </w:p>
    <w:p w14:paraId="2C636968" w14:textId="77777777" w:rsidR="0082443F" w:rsidRDefault="0082443F"/>
    <w:sectPr w:rsidR="0082443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E432C" w14:textId="77777777" w:rsidR="007840A5" w:rsidRDefault="007840A5">
      <w:r>
        <w:separator/>
      </w:r>
    </w:p>
  </w:endnote>
  <w:endnote w:type="continuationSeparator" w:id="0">
    <w:p w14:paraId="79710F11" w14:textId="77777777" w:rsidR="007840A5" w:rsidRDefault="0078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C20A" w14:textId="77777777" w:rsidR="0082443F" w:rsidRDefault="0082443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377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5815" w14:textId="77777777" w:rsidR="007840A5" w:rsidRDefault="007840A5">
      <w:r>
        <w:separator/>
      </w:r>
    </w:p>
  </w:footnote>
  <w:footnote w:type="continuationSeparator" w:id="0">
    <w:p w14:paraId="149126D9" w14:textId="77777777" w:rsidR="007840A5" w:rsidRDefault="00784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43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01D6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5004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77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0E8C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40A5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443F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38AB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87BA3"/>
  <w15:chartTrackingRefBased/>
  <w15:docId w15:val="{48FEF53B-5B92-405A-A004-DAAD209E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3932</Characters>
  <Application>Microsoft Office Word</Application>
  <DocSecurity>4</DocSecurity>
  <Lines>115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