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85E13" w14:textId="77777777" w:rsidR="00C72FAD" w:rsidRDefault="00C72FAD">
      <w:r>
        <w:rPr>
          <w:b/>
        </w:rPr>
        <w:t>Some notes on the Fraunhofer diffraction pattern of a circular disk</w:t>
      </w:r>
      <w:r>
        <w:rPr>
          <w:b/>
        </w:rPr>
        <w:tab/>
      </w:r>
      <w:r>
        <w:rPr>
          <w:b/>
        </w:rPr>
        <w:tab/>
      </w:r>
      <w:r>
        <w:t>PhL</w:t>
      </w:r>
      <w:r>
        <w:tab/>
      </w:r>
      <w:r>
        <w:tab/>
        <w:t>1.3.03</w:t>
      </w:r>
    </w:p>
    <w:p w14:paraId="2A0DC244" w14:textId="77777777" w:rsidR="00C72FAD" w:rsidRDefault="00C72FAD"/>
    <w:p w14:paraId="6CE2697E" w14:textId="77777777" w:rsidR="00C72FAD" w:rsidRDefault="00C72FAD">
      <w:r>
        <w:t>The phase of the incoming unit amplitude plane wave is just exp(ikz), so in the Babinet field difference we can factor this out of both Ein and Airy and we get this result:</w:t>
      </w:r>
    </w:p>
    <w:p w14:paraId="44F5E8DB" w14:textId="77777777" w:rsidR="00C72FAD" w:rsidRDefault="00C72FAD"/>
    <w:p w14:paraId="28F2EA8F" w14:textId="77777777" w:rsidR="00C72FAD" w:rsidRDefault="00C72FAD">
      <w:r>
        <w:tab/>
        <w:t>E2 = e</w:t>
      </w:r>
      <w:r>
        <w:rPr>
          <w:vertAlign w:val="superscript"/>
        </w:rPr>
        <w:t>ikz</w:t>
      </w:r>
      <w:r>
        <w:t xml:space="preserve"> *  [  1  -  (1/i) e</w:t>
      </w:r>
      <w:r>
        <w:rPr>
          <w:vertAlign w:val="superscript"/>
        </w:rPr>
        <w:t>iAr^2</w:t>
      </w:r>
      <w:r>
        <w:t xml:space="preserve"> q(r) ]</w:t>
      </w:r>
      <w:r>
        <w:tab/>
      </w:r>
      <w:r>
        <w:tab/>
        <w:t>A = k/2z</w:t>
      </w:r>
    </w:p>
    <w:p w14:paraId="0A1D30FE" w14:textId="77777777" w:rsidR="00C72FAD" w:rsidRDefault="00C72FAD"/>
    <w:p w14:paraId="1CED26DD" w14:textId="77777777" w:rsidR="00C72FAD" w:rsidRDefault="00C72FAD">
      <w:r>
        <w:t>where</w:t>
      </w:r>
    </w:p>
    <w:p w14:paraId="50F8B4AA" w14:textId="77777777" w:rsidR="00C72FAD" w:rsidRDefault="00C72FAD"/>
    <w:p w14:paraId="7037C96D" w14:textId="77777777" w:rsidR="00C72FAD" w:rsidRDefault="00C72FAD">
      <w:r>
        <w:tab/>
        <w:t>q(r) = B * 2 J</w:t>
      </w:r>
      <w:r>
        <w:rPr>
          <w:vertAlign w:val="subscript"/>
        </w:rPr>
        <w:t>1</w:t>
      </w:r>
      <w:r>
        <w:t>(Cr)/(Cr)</w:t>
      </w:r>
      <w:r>
        <w:tab/>
      </w:r>
      <w:r>
        <w:tab/>
        <w:t>B = (</w:t>
      </w:r>
      <w:r>
        <w:sym w:font="Symbol" w:char="F070"/>
      </w:r>
      <w:r>
        <w:t>a</w:t>
      </w:r>
      <w:r>
        <w:rPr>
          <w:vertAlign w:val="superscript"/>
        </w:rPr>
        <w:t>2</w:t>
      </w:r>
      <w:r>
        <w:t>)/(</w:t>
      </w:r>
      <w:r>
        <w:sym w:font="Symbol" w:char="F06C"/>
      </w:r>
      <w:r>
        <w:t>z)</w:t>
      </w:r>
      <w:r>
        <w:tab/>
      </w:r>
      <w:r>
        <w:tab/>
        <w:t>C = ka/z</w:t>
      </w:r>
    </w:p>
    <w:p w14:paraId="27375B7A" w14:textId="77777777" w:rsidR="00C72FAD" w:rsidRDefault="00C72FAD"/>
    <w:p w14:paraId="11BD1AFC" w14:textId="77777777" w:rsidR="00C72FAD" w:rsidRDefault="00C72FAD">
      <w:r>
        <w:object w:dxaOrig="5097" w:dyaOrig="3000" w14:anchorId="1A6671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04pt;margin-top:103.8pt;width:254.85pt;height:150pt;z-index:251657216;mso-position-horizontal:absolute;mso-position-horizontal-relative:text;mso-position-vertical:absolute;mso-position-vertical-relative:text" o:allowincell="f">
            <v:imagedata r:id="rId6" o:title=""/>
            <w10:wrap type="topAndBottom"/>
          </v:shape>
          <o:OLEObject Type="Embed" ProgID="Visio.Drawing.11" ShapeID="_x0000_s1026" DrawAspect="Content" ObjectID="_1850216637" r:id="rId7"/>
        </w:object>
      </w:r>
      <w:r>
        <w:t xml:space="preserve">Remember that q(r) is a sinc like function, and B &lt;&lt;1 to be in the Fraunhofer limit. Looking at the form of E2, ignoring the outside overall </w:t>
      </w:r>
      <w:r>
        <w:t>phase, what you see is a vector to the point "1" to which is added a second vector  i e</w:t>
      </w:r>
      <w:r>
        <w:rPr>
          <w:vertAlign w:val="superscript"/>
        </w:rPr>
        <w:t>iAr^2</w:t>
      </w:r>
      <w:r>
        <w:t xml:space="preserve"> q(r).  As r increases from 0, this second vector which starts at 90 degrees starts to rotate to the left at an accelerating rate (since r^2). The magnitude of the second vector is |q(r)| which starts at value B at r=0 and shrinks and grows as that sinc-like function varies, but the magnitude never reaches this initial value of B again.  So here is a Visio graphic to show the construction:</w:t>
      </w:r>
    </w:p>
    <w:p w14:paraId="1EC0E9D9" w14:textId="77777777" w:rsidR="00C72FAD" w:rsidRDefault="00C72FAD"/>
    <w:p w14:paraId="69D7FB6D" w14:textId="77777777" w:rsidR="00C72FAD" w:rsidRDefault="00C72FAD"/>
    <w:p w14:paraId="1DD57D62" w14:textId="77777777" w:rsidR="00C72FAD" w:rsidRDefault="00C72FAD">
      <w:r>
        <w:t>Without doing any more, y</w:t>
      </w:r>
      <w:r>
        <w:t xml:space="preserve">ou can SEE what |E(r)| is going to look like. At r = 0 it has a larger than 1 value, then it drops down to a smaller value, and then oscillates around until eventually it zeros in on value 1 because q(r) approaches 0, being sinc-like. The second smaller vector is going to follow a spiral pattern like that shown in the figure. The starting amplitude is </w:t>
      </w:r>
      <w:r>
        <w:fldChar w:fldCharType="begin"/>
      </w:r>
      <w:r>
        <w:instrText xml:space="preserve"> EQ \r(1+B</w:instrText>
      </w:r>
      <w:r>
        <w:rPr>
          <w:vertAlign w:val="superscript"/>
        </w:rPr>
        <w:instrText>2</w:instrText>
      </w:r>
      <w:r>
        <w:instrText xml:space="preserve">) </w:instrText>
      </w:r>
      <w:r>
        <w:fldChar w:fldCharType="end"/>
      </w:r>
      <w:r>
        <w:fldChar w:fldCharType="begin"/>
      </w:r>
      <w:r>
        <w:instrText xml:space="preserve"> EQ </w:instrText>
      </w:r>
      <w:r>
        <w:fldChar w:fldCharType="end"/>
      </w:r>
      <w:r>
        <w:t>which then starts to decrease during the first turn. Depending on the values of the parameters, the amplitude could then reach an even la</w:t>
      </w:r>
      <w:r>
        <w:t xml:space="preserve">rger value of 1 + B if it reaches the far side of the circle. So 1+B is an upper bound on the amplitude at all values of r, and 1-B is a lower bound. </w:t>
      </w:r>
    </w:p>
    <w:p w14:paraId="2237EAF3" w14:textId="77777777" w:rsidR="00C72FAD" w:rsidRDefault="00C72FAD">
      <w:r>
        <w:tab/>
        <w:t>Simple algebra gives this result which of course implies the same shape:</w:t>
      </w:r>
    </w:p>
    <w:p w14:paraId="563D37A7" w14:textId="77777777" w:rsidR="00C72FAD" w:rsidRDefault="00C72FAD"/>
    <w:p w14:paraId="058CF789" w14:textId="77777777" w:rsidR="00C72FAD" w:rsidRDefault="00C72FAD">
      <w:r>
        <w:tab/>
      </w:r>
      <w:r>
        <w:tab/>
        <w:t>|E(r)|</w:t>
      </w:r>
      <w:r>
        <w:rPr>
          <w:vertAlign w:val="superscript"/>
        </w:rPr>
        <w:t xml:space="preserve">2   </w:t>
      </w:r>
      <w:r>
        <w:t>= 1 - 2 sin(Ar</w:t>
      </w:r>
      <w:r>
        <w:rPr>
          <w:vertAlign w:val="superscript"/>
        </w:rPr>
        <w:t>2</w:t>
      </w:r>
      <w:r>
        <w:t>) q(r)  +  q(r)</w:t>
      </w:r>
      <w:r>
        <w:rPr>
          <w:vertAlign w:val="superscript"/>
        </w:rPr>
        <w:t>2</w:t>
      </w:r>
      <w:r>
        <w:t xml:space="preserve">  </w:t>
      </w:r>
    </w:p>
    <w:p w14:paraId="0C00EB89" w14:textId="77777777" w:rsidR="00C72FAD" w:rsidRDefault="00C72FAD"/>
    <w:p w14:paraId="1A58930E" w14:textId="77777777" w:rsidR="00C72FAD" w:rsidRDefault="00C72FAD">
      <w:r>
        <w:t>where you can see that |E(0)|</w:t>
      </w:r>
      <w:r>
        <w:rPr>
          <w:vertAlign w:val="superscript"/>
        </w:rPr>
        <w:t xml:space="preserve">2   </w:t>
      </w:r>
      <w:r>
        <w:t>= 1   +  q(0)</w:t>
      </w:r>
      <w:r>
        <w:rPr>
          <w:vertAlign w:val="superscript"/>
        </w:rPr>
        <w:t>2</w:t>
      </w:r>
      <w:r>
        <w:t xml:space="preserve"> = 1 + B</w:t>
      </w:r>
      <w:r>
        <w:rPr>
          <w:vertAlign w:val="superscript"/>
        </w:rPr>
        <w:t>2</w:t>
      </w:r>
      <w:r>
        <w:t xml:space="preserve">   which is in fact &gt; 1. </w:t>
      </w:r>
    </w:p>
    <w:p w14:paraId="530E40F9" w14:textId="77777777" w:rsidR="00C72FAD" w:rsidRDefault="00C72FAD">
      <w:r>
        <w:tab/>
        <w:t>So now we get a result which agrees with that PDF file.  It says that in the diffraction pattern of a circular disk, the center is slightly brighter than th</w:t>
      </w:r>
      <w:r>
        <w:t xml:space="preserve">e incident wave, the magnitude then drops off, and then oscillates toward 1, perhaps reaching a value larger than the central value.  The central bright area is the </w:t>
      </w:r>
      <w:r>
        <w:lastRenderedPageBreak/>
        <w:t>remnant in the Fraunhofer limit of the Poisson bright spot in the geometric shadow in the Fresnel near-field case. Here is a specific Excel plot with the following values:</w:t>
      </w:r>
    </w:p>
    <w:p w14:paraId="64DF75D5" w14:textId="77777777" w:rsidR="00C72FAD" w:rsidRDefault="00C72FAD"/>
    <w:p w14:paraId="6BB8635D" w14:textId="77777777" w:rsidR="00C72FAD" w:rsidRDefault="00C72FAD">
      <w:r>
        <w:tab/>
      </w:r>
      <w:r>
        <w:sym w:font="Symbol" w:char="F06C"/>
      </w:r>
      <w:r>
        <w:t xml:space="preserve"> = .5 </w:t>
      </w:r>
      <w:r>
        <w:sym w:font="Symbol" w:char="F06D"/>
      </w:r>
      <w:r>
        <w:tab/>
      </w:r>
      <w:r>
        <w:tab/>
        <w:t>a = 1 mm</w:t>
      </w:r>
      <w:r>
        <w:tab/>
        <w:t>z = 20m</w:t>
      </w:r>
    </w:p>
    <w:p w14:paraId="1BC8D1B6" w14:textId="77777777" w:rsidR="00C72FAD" w:rsidRDefault="00C72FAD"/>
    <w:tbl>
      <w:tblPr>
        <w:tblW w:w="0" w:type="auto"/>
        <w:tblLayout w:type="fixed"/>
        <w:tblCellMar>
          <w:left w:w="30" w:type="dxa"/>
          <w:right w:w="30" w:type="dxa"/>
        </w:tblCellMar>
        <w:tblLook w:val="0000" w:firstRow="0" w:lastRow="0" w:firstColumn="0" w:lastColumn="0" w:noHBand="0" w:noVBand="0"/>
      </w:tblPr>
      <w:tblGrid>
        <w:gridCol w:w="1214"/>
        <w:gridCol w:w="1011"/>
        <w:gridCol w:w="1152"/>
      </w:tblGrid>
      <w:tr w:rsidR="00000000" w14:paraId="634628A8" w14:textId="77777777">
        <w:tblPrEx>
          <w:tblCellMar>
            <w:top w:w="0" w:type="dxa"/>
            <w:bottom w:w="0" w:type="dxa"/>
          </w:tblCellMar>
        </w:tblPrEx>
        <w:trPr>
          <w:trHeight w:val="262"/>
        </w:trPr>
        <w:tc>
          <w:tcPr>
            <w:tcW w:w="1214" w:type="dxa"/>
          </w:tcPr>
          <w:p w14:paraId="0221EE64" w14:textId="77777777" w:rsidR="00C72FAD" w:rsidRDefault="00C72FAD">
            <w:pPr>
              <w:rPr>
                <w:rFonts w:ascii="Arial" w:hAnsi="Arial"/>
                <w:snapToGrid w:val="0"/>
                <w:color w:val="000000"/>
              </w:rPr>
            </w:pPr>
            <w:r>
              <w:rPr>
                <w:rFonts w:ascii="Arial" w:hAnsi="Arial"/>
                <w:snapToGrid w:val="0"/>
                <w:color w:val="000000"/>
              </w:rPr>
              <w:t>A</w:t>
            </w:r>
          </w:p>
        </w:tc>
        <w:tc>
          <w:tcPr>
            <w:tcW w:w="1011" w:type="dxa"/>
          </w:tcPr>
          <w:p w14:paraId="6AC31970" w14:textId="77777777" w:rsidR="00C72FAD" w:rsidRDefault="00C72FAD">
            <w:pPr>
              <w:jc w:val="right"/>
              <w:rPr>
                <w:rFonts w:ascii="Arial" w:hAnsi="Arial"/>
                <w:snapToGrid w:val="0"/>
                <w:color w:val="000000"/>
              </w:rPr>
            </w:pPr>
            <w:r>
              <w:rPr>
                <w:rFonts w:ascii="Arial" w:hAnsi="Arial"/>
                <w:snapToGrid w:val="0"/>
                <w:color w:val="000000"/>
              </w:rPr>
              <w:t>314159.3</w:t>
            </w:r>
          </w:p>
        </w:tc>
        <w:tc>
          <w:tcPr>
            <w:tcW w:w="1152" w:type="dxa"/>
          </w:tcPr>
          <w:p w14:paraId="59B3D6D9" w14:textId="77777777" w:rsidR="00C72FAD" w:rsidRDefault="00C72FAD">
            <w:pPr>
              <w:rPr>
                <w:rFonts w:ascii="Arial" w:hAnsi="Arial"/>
                <w:snapToGrid w:val="0"/>
                <w:color w:val="000000"/>
              </w:rPr>
            </w:pPr>
            <w:r>
              <w:rPr>
                <w:rFonts w:ascii="Arial" w:hAnsi="Arial"/>
                <w:snapToGrid w:val="0"/>
                <w:color w:val="000000"/>
              </w:rPr>
              <w:t>minv2</w:t>
            </w:r>
          </w:p>
        </w:tc>
      </w:tr>
      <w:tr w:rsidR="00000000" w14:paraId="1221862A" w14:textId="77777777">
        <w:tblPrEx>
          <w:tblCellMar>
            <w:top w:w="0" w:type="dxa"/>
            <w:bottom w:w="0" w:type="dxa"/>
          </w:tblCellMar>
        </w:tblPrEx>
        <w:trPr>
          <w:trHeight w:val="262"/>
        </w:trPr>
        <w:tc>
          <w:tcPr>
            <w:tcW w:w="1214" w:type="dxa"/>
          </w:tcPr>
          <w:p w14:paraId="1592AF78" w14:textId="77777777" w:rsidR="00C72FAD" w:rsidRDefault="00C72FAD">
            <w:pPr>
              <w:rPr>
                <w:rFonts w:ascii="Arial" w:hAnsi="Arial"/>
                <w:snapToGrid w:val="0"/>
                <w:color w:val="000000"/>
              </w:rPr>
            </w:pPr>
            <w:r>
              <w:rPr>
                <w:rFonts w:ascii="Arial" w:hAnsi="Arial"/>
                <w:snapToGrid w:val="0"/>
                <w:color w:val="000000"/>
              </w:rPr>
              <w:t>B</w:t>
            </w:r>
          </w:p>
        </w:tc>
        <w:tc>
          <w:tcPr>
            <w:tcW w:w="1011" w:type="dxa"/>
          </w:tcPr>
          <w:p w14:paraId="37623A6D" w14:textId="77777777" w:rsidR="00C72FAD" w:rsidRDefault="00C72FAD">
            <w:pPr>
              <w:jc w:val="right"/>
              <w:rPr>
                <w:rFonts w:ascii="Arial" w:hAnsi="Arial"/>
                <w:snapToGrid w:val="0"/>
                <w:color w:val="000000"/>
              </w:rPr>
            </w:pPr>
            <w:r>
              <w:rPr>
                <w:rFonts w:ascii="Arial" w:hAnsi="Arial"/>
                <w:snapToGrid w:val="0"/>
                <w:color w:val="000000"/>
              </w:rPr>
              <w:t>0.314159</w:t>
            </w:r>
          </w:p>
        </w:tc>
        <w:tc>
          <w:tcPr>
            <w:tcW w:w="1152" w:type="dxa"/>
          </w:tcPr>
          <w:p w14:paraId="4E684B67" w14:textId="77777777" w:rsidR="00C72FAD" w:rsidRDefault="00C72FAD">
            <w:pPr>
              <w:rPr>
                <w:rFonts w:ascii="Arial" w:hAnsi="Arial"/>
                <w:snapToGrid w:val="0"/>
                <w:color w:val="000000"/>
              </w:rPr>
            </w:pPr>
            <w:r>
              <w:rPr>
                <w:rFonts w:ascii="Arial" w:hAnsi="Arial"/>
                <w:snapToGrid w:val="0"/>
                <w:color w:val="000000"/>
              </w:rPr>
              <w:t>dimless</w:t>
            </w:r>
          </w:p>
        </w:tc>
      </w:tr>
      <w:tr w:rsidR="00000000" w14:paraId="0B2F8C41" w14:textId="77777777">
        <w:tblPrEx>
          <w:tblCellMar>
            <w:top w:w="0" w:type="dxa"/>
            <w:bottom w:w="0" w:type="dxa"/>
          </w:tblCellMar>
        </w:tblPrEx>
        <w:trPr>
          <w:trHeight w:val="262"/>
        </w:trPr>
        <w:tc>
          <w:tcPr>
            <w:tcW w:w="1214" w:type="dxa"/>
          </w:tcPr>
          <w:p w14:paraId="2B24A145" w14:textId="77777777" w:rsidR="00C72FAD" w:rsidRDefault="00C72FAD">
            <w:pPr>
              <w:rPr>
                <w:rFonts w:ascii="Arial" w:hAnsi="Arial"/>
                <w:snapToGrid w:val="0"/>
                <w:color w:val="000000"/>
              </w:rPr>
            </w:pPr>
            <w:r>
              <w:rPr>
                <w:rFonts w:ascii="Arial" w:hAnsi="Arial"/>
                <w:snapToGrid w:val="0"/>
                <w:color w:val="000000"/>
              </w:rPr>
              <w:t>C</w:t>
            </w:r>
          </w:p>
        </w:tc>
        <w:tc>
          <w:tcPr>
            <w:tcW w:w="1011" w:type="dxa"/>
          </w:tcPr>
          <w:p w14:paraId="374BADC2" w14:textId="77777777" w:rsidR="00C72FAD" w:rsidRDefault="00C72FAD">
            <w:pPr>
              <w:jc w:val="right"/>
              <w:rPr>
                <w:rFonts w:ascii="Arial" w:hAnsi="Arial"/>
                <w:snapToGrid w:val="0"/>
                <w:color w:val="000000"/>
              </w:rPr>
            </w:pPr>
            <w:r>
              <w:rPr>
                <w:rFonts w:ascii="Arial" w:hAnsi="Arial"/>
                <w:snapToGrid w:val="0"/>
                <w:color w:val="000000"/>
              </w:rPr>
              <w:t>628.3185</w:t>
            </w:r>
          </w:p>
        </w:tc>
        <w:tc>
          <w:tcPr>
            <w:tcW w:w="1152" w:type="dxa"/>
          </w:tcPr>
          <w:p w14:paraId="6D55AF36" w14:textId="77777777" w:rsidR="00C72FAD" w:rsidRDefault="00C72FAD">
            <w:pPr>
              <w:rPr>
                <w:rFonts w:ascii="Arial" w:hAnsi="Arial"/>
                <w:snapToGrid w:val="0"/>
                <w:color w:val="000000"/>
              </w:rPr>
            </w:pPr>
            <w:r>
              <w:rPr>
                <w:rFonts w:ascii="Arial" w:hAnsi="Arial"/>
                <w:snapToGrid w:val="0"/>
                <w:color w:val="000000"/>
              </w:rPr>
              <w:t>minv</w:t>
            </w:r>
          </w:p>
        </w:tc>
      </w:tr>
      <w:tr w:rsidR="00000000" w14:paraId="562E53CB" w14:textId="77777777">
        <w:tblPrEx>
          <w:tblCellMar>
            <w:top w:w="0" w:type="dxa"/>
            <w:bottom w:w="0" w:type="dxa"/>
          </w:tblCellMar>
        </w:tblPrEx>
        <w:trPr>
          <w:trHeight w:val="262"/>
        </w:trPr>
        <w:tc>
          <w:tcPr>
            <w:tcW w:w="1214" w:type="dxa"/>
          </w:tcPr>
          <w:p w14:paraId="3A2440CD" w14:textId="77777777" w:rsidR="00C72FAD" w:rsidRDefault="00C72FAD">
            <w:pPr>
              <w:rPr>
                <w:rFonts w:ascii="Arial" w:hAnsi="Arial"/>
                <w:snapToGrid w:val="0"/>
                <w:color w:val="000000"/>
              </w:rPr>
            </w:pPr>
            <w:r>
              <w:rPr>
                <w:rFonts w:ascii="Arial" w:hAnsi="Arial"/>
                <w:snapToGrid w:val="0"/>
                <w:color w:val="000000"/>
              </w:rPr>
              <w:t>d</w:t>
            </w:r>
          </w:p>
        </w:tc>
        <w:tc>
          <w:tcPr>
            <w:tcW w:w="1011" w:type="dxa"/>
          </w:tcPr>
          <w:p w14:paraId="1BD6D23D" w14:textId="77777777" w:rsidR="00C72FAD" w:rsidRDefault="00C72FAD">
            <w:pPr>
              <w:jc w:val="right"/>
              <w:rPr>
                <w:rFonts w:ascii="Arial" w:hAnsi="Arial"/>
                <w:snapToGrid w:val="0"/>
                <w:color w:val="000000"/>
              </w:rPr>
            </w:pPr>
            <w:r>
              <w:rPr>
                <w:rFonts w:ascii="Arial" w:hAnsi="Arial"/>
                <w:snapToGrid w:val="0"/>
                <w:color w:val="000000"/>
              </w:rPr>
              <w:t>0.0122</w:t>
            </w:r>
          </w:p>
        </w:tc>
        <w:tc>
          <w:tcPr>
            <w:tcW w:w="1152" w:type="dxa"/>
          </w:tcPr>
          <w:p w14:paraId="1B4C38DE" w14:textId="77777777" w:rsidR="00C72FAD" w:rsidRDefault="00C72FAD">
            <w:pPr>
              <w:rPr>
                <w:rFonts w:ascii="Arial" w:hAnsi="Arial"/>
                <w:snapToGrid w:val="0"/>
                <w:color w:val="000000"/>
              </w:rPr>
            </w:pPr>
            <w:r>
              <w:rPr>
                <w:rFonts w:ascii="Arial" w:hAnsi="Arial"/>
                <w:snapToGrid w:val="0"/>
                <w:color w:val="000000"/>
              </w:rPr>
              <w:t>lobe width</w:t>
            </w:r>
          </w:p>
        </w:tc>
      </w:tr>
    </w:tbl>
    <w:p w14:paraId="4A5186F6" w14:textId="77777777" w:rsidR="00C72FAD" w:rsidRDefault="00C72FAD">
      <w:r>
        <w:object w:dxaOrig="5097" w:dyaOrig="3000" w14:anchorId="670BA303">
          <v:shape id="_x0000_s1027" type="#_x0000_t75" style="position:absolute;left:0;text-align:left;margin-left:41.2pt;margin-top:22.95pt;width:369.75pt;height:252.35pt;z-index:251658240;mso-position-horizontal:absolute;mso-position-horizontal-relative:text;mso-position-vertical:absolute;mso-position-vertical-relative:text" o:allowincell="f">
            <v:imagedata r:id="rId8" o:title=""/>
            <w10:wrap type="topAndBottom"/>
          </v:shape>
          <o:OLEObject Type="Embed" ProgID="Excel.Sheet.8" ShapeID="_x0000_s1027" DrawAspect="Content" ObjectID="_1850216638" r:id="rId9"/>
        </w:object>
      </w:r>
    </w:p>
    <w:p w14:paraId="34B35AA4" w14:textId="77777777" w:rsidR="00C72FAD" w:rsidRDefault="00C72FAD"/>
    <w:p w14:paraId="5FA92629" w14:textId="77777777" w:rsidR="00C72FAD" w:rsidRDefault="00C72FAD">
      <w:r>
        <w:t xml:space="preserve">The thin curve is just the function q(r), sinc-like as noted, and </w:t>
      </w:r>
      <w:r>
        <w:t xml:space="preserve">q(0) = B = .3.  The lower heavy curve is the Airy intensity pattern you would get from a </w:t>
      </w:r>
      <w:r>
        <w:rPr>
          <w:i/>
        </w:rPr>
        <w:t>hole</w:t>
      </w:r>
      <w:r>
        <w:t xml:space="preserve">, while the upper curve is the intensity pattern resulting from the </w:t>
      </w:r>
      <w:r>
        <w:rPr>
          <w:i/>
        </w:rPr>
        <w:t>disk</w:t>
      </w:r>
      <w:r>
        <w:t xml:space="preserve"> of the same diameter according to Babinet, and these two intensities are properly scaled. We can see that the Airy pattern of the hole is fairly subdued, half-width is about 5 mm. In contrast, the pattern of the corresponding disk has a dramatic swing going from about .58 to 1.3 in intensity (this is the square of the field, so (1-B)</w:t>
      </w:r>
      <w:r>
        <w:rPr>
          <w:vertAlign w:val="superscript"/>
        </w:rPr>
        <w:t xml:space="preserve">2  </w:t>
      </w:r>
      <w:r>
        <w:t>= .49 is</w:t>
      </w:r>
      <w:r>
        <w:t xml:space="preserve"> the lower bound). </w:t>
      </w:r>
    </w:p>
    <w:p w14:paraId="7729D1E7" w14:textId="77777777" w:rsidR="00C72FAD" w:rsidRDefault="00C72FAD"/>
    <w:sectPr w:rsidR="00C72FAD">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841EC" w14:textId="77777777" w:rsidR="00C72FAD" w:rsidRDefault="00C72FAD">
      <w:pPr>
        <w:spacing w:line="240" w:lineRule="auto"/>
      </w:pPr>
      <w:r>
        <w:separator/>
      </w:r>
    </w:p>
  </w:endnote>
  <w:endnote w:type="continuationSeparator" w:id="0">
    <w:p w14:paraId="63C8F5DC" w14:textId="77777777" w:rsidR="00C72FAD" w:rsidRDefault="00C72F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E1A6F" w14:textId="77777777" w:rsidR="00C72FAD" w:rsidRDefault="00C72FA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3DEBB" w14:textId="77777777" w:rsidR="00C72FAD" w:rsidRDefault="00C72FAD">
      <w:pPr>
        <w:spacing w:line="240" w:lineRule="auto"/>
      </w:pPr>
      <w:r>
        <w:separator/>
      </w:r>
    </w:p>
  </w:footnote>
  <w:footnote w:type="continuationSeparator" w:id="0">
    <w:p w14:paraId="60679163" w14:textId="77777777" w:rsidR="00C72FAD" w:rsidRDefault="00C72FA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408E"/>
    <w:rsid w:val="00C72FAD"/>
    <w:rsid w:val="00D0408E"/>
    <w:rsid w:val="00D70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37E371DC"/>
  <w15:chartTrackingRefBased/>
  <w15:docId w15:val="{019BD8D6-19DA-4F06-B61A-10F4F640C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oleObject" Target="embeddings/Microsoft_Excel_97-2003_Worksheet.xl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599</Words>
  <Characters>2494</Characters>
  <Application>Microsoft Office Word</Application>
  <DocSecurity>4</DocSecurity>
  <Lines>60</Lines>
  <Paragraphs>31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2026-09-06T23:15:00Z</dcterms:created>
  <dcterms:modified xsi:type="dcterms:W3CDTF">2026-09-06T23:15:00Z</dcterms:modified>
</cp:coreProperties>
</file>